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49530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13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74930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§240.14a-11(c) or §240.14a-2</w:t>
      </w:r>
    </w:p>
    <w:p>
      <w:pPr>
        <w:spacing w:after="0" w:line="118" w:lineRule="exact"/>
        <w:rPr>
          <w:sz w:val="24"/>
          <w:szCs w:val="24"/>
          <w:color w:val="auto"/>
        </w:rPr>
      </w:pPr>
    </w:p>
    <w:p>
      <w:pPr>
        <w:jc w:val="center"/>
        <w:ind w:right="-360"/>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4"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440" w:hanging="409"/>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40" w:hanging="409"/>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09"/>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382270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193675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253365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color w:val="auto"/>
        </w:rPr>
        <w:t> </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DROPBOX, INC.</w:t>
            </w:r>
          </w:p>
        </w:tc>
        <w:tc>
          <w:tcPr>
            <w:tcW w:w="1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Pr>
          <w:p>
            <w:pPr>
              <w:ind w:left="200"/>
              <w:spacing w:after="0" w:line="202" w:lineRule="exact"/>
              <w:rPr>
                <w:sz w:val="20"/>
                <w:szCs w:val="20"/>
                <w:color w:val="auto"/>
              </w:rPr>
            </w:pPr>
            <w:r>
              <w:rPr>
                <w:rFonts w:ascii="Arial" w:cs="Arial" w:eastAsia="Arial" w:hAnsi="Arial"/>
                <w:sz w:val="18"/>
                <w:szCs w:val="18"/>
                <w:color w:val="auto"/>
              </w:rPr>
              <w:t>1800 OWENS STREET</w:t>
            </w:r>
          </w:p>
        </w:tc>
        <w:tc>
          <w:tcPr>
            <w:tcW w:w="1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Pr>
          <w:p>
            <w:pPr>
              <w:ind w:left="200"/>
              <w:spacing w:after="0" w:line="202" w:lineRule="exact"/>
              <w:rPr>
                <w:sz w:val="20"/>
                <w:szCs w:val="20"/>
                <w:color w:val="auto"/>
              </w:rPr>
            </w:pPr>
            <w:r>
              <w:rPr>
                <w:rFonts w:ascii="Arial" w:cs="Arial" w:eastAsia="Arial" w:hAnsi="Arial"/>
                <w:sz w:val="18"/>
                <w:szCs w:val="18"/>
                <w:color w:val="auto"/>
              </w:rPr>
              <w:t>SAN FRANCISCO,</w:t>
            </w:r>
          </w:p>
        </w:tc>
        <w:tc>
          <w:tcPr>
            <w:tcW w:w="160" w:type="dxa"/>
            <w:vAlign w:val="bottom"/>
          </w:tcPr>
          <w:p>
            <w:pPr>
              <w:spacing w:after="0"/>
              <w:rPr>
                <w:sz w:val="17"/>
                <w:szCs w:val="17"/>
                <w:color w:val="auto"/>
              </w:rPr>
            </w:pPr>
          </w:p>
        </w:tc>
      </w:tr>
      <w:tr>
        <w:trPr>
          <w:trHeight w:val="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6700" w:type="dxa"/>
            <w:vAlign w:val="bottom"/>
          </w:tcPr>
          <w:p>
            <w:pPr>
              <w:ind w:left="6500"/>
              <w:spacing w:after="0"/>
              <w:rPr>
                <w:sz w:val="20"/>
                <w:szCs w:val="20"/>
                <w:color w:val="auto"/>
              </w:rPr>
            </w:pPr>
            <w:r>
              <w:rPr>
                <w:rFonts w:ascii="Arial" w:cs="Arial" w:eastAsia="Arial" w:hAnsi="Arial"/>
                <w:sz w:val="4"/>
                <w:szCs w:val="4"/>
                <w:color w:val="auto"/>
              </w:rPr>
              <w:t>​</w:t>
            </w:r>
          </w:p>
        </w:tc>
        <w:tc>
          <w:tcPr>
            <w:tcW w:w="380" w:type="dxa"/>
            <w:vAlign w:val="bottom"/>
          </w:tcPr>
          <w:p>
            <w:pPr>
              <w:ind w:left="180"/>
              <w:spacing w:after="0"/>
              <w:rPr>
                <w:sz w:val="20"/>
                <w:szCs w:val="20"/>
                <w:color w:val="auto"/>
              </w:rPr>
            </w:pPr>
            <w:r>
              <w:rPr>
                <w:rFonts w:ascii="Arial" w:cs="Arial" w:eastAsia="Arial" w:hAnsi="Arial"/>
                <w:sz w:val="4"/>
                <w:szCs w:val="4"/>
                <w:color w:val="auto"/>
              </w:rPr>
              <w:t>​</w:t>
            </w:r>
          </w:p>
        </w:tc>
        <w:tc>
          <w:tcPr>
            <w:tcW w:w="2240" w:type="dxa"/>
            <w:vAlign w:val="bottom"/>
          </w:tcPr>
          <w:p>
            <w:pPr>
              <w:ind w:left="200"/>
              <w:spacing w:after="0" w:line="69" w:lineRule="exact"/>
              <w:rPr>
                <w:sz w:val="20"/>
                <w:szCs w:val="20"/>
                <w:color w:val="auto"/>
              </w:rPr>
            </w:pPr>
            <w:r>
              <w:rPr>
                <w:rFonts w:ascii="Arial" w:cs="Arial" w:eastAsia="Arial" w:hAnsi="Arial"/>
                <w:sz w:val="7"/>
                <w:szCs w:val="7"/>
                <w:color w:val="auto"/>
              </w:rPr>
              <w:t>CALIFORNIA 94158</w:t>
            </w:r>
          </w:p>
        </w:tc>
        <w:tc>
          <w:tcPr>
            <w:tcW w:w="160" w:type="dxa"/>
            <w:vAlign w:val="bottom"/>
          </w:tcPr>
          <w:p>
            <w:pPr>
              <w:ind w:left="160"/>
              <w:spacing w:after="0"/>
              <w:rPr>
                <w:sz w:val="20"/>
                <w:szCs w:val="20"/>
                <w:color w:val="auto"/>
              </w:rPr>
            </w:pPr>
            <w:r>
              <w:rPr>
                <w:rFonts w:ascii="Arial" w:cs="Arial" w:eastAsia="Arial" w:hAnsi="Arial"/>
                <w:sz w:val="4"/>
                <w:szCs w:val="4"/>
                <w:color w:val="auto"/>
              </w:rPr>
              <w:t>​</w:t>
            </w:r>
          </w:p>
        </w:tc>
      </w:tr>
      <w:tr>
        <w:trPr>
          <w:trHeight w:val="659"/>
        </w:trPr>
        <w:tc>
          <w:tcPr>
            <w:tcW w:w="40" w:type="dxa"/>
            <w:vAlign w:val="bottom"/>
          </w:tcPr>
          <w:p>
            <w:pPr>
              <w:spacing w:after="0"/>
              <w:rPr>
                <w:sz w:val="24"/>
                <w:szCs w:val="24"/>
                <w:color w:val="auto"/>
              </w:rPr>
            </w:pPr>
          </w:p>
        </w:tc>
        <w:tc>
          <w:tcPr>
            <w:tcW w:w="6700" w:type="dxa"/>
            <w:vAlign w:val="bottom"/>
          </w:tcPr>
          <w:p>
            <w:pPr>
              <w:ind w:left="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-852805</wp:posOffset>
            </wp:positionV>
            <wp:extent cx="370332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03320" cy="728980"/>
                    </a:xfrm>
                    <a:prstGeom prst="rect">
                      <a:avLst/>
                    </a:prstGeom>
                    <a:noFill/>
                  </pic:spPr>
                </pic:pic>
              </a:graphicData>
            </a:graphic>
          </wp:anchor>
        </w:drawing>
      </w:r>
    </w:p>
    <w:p>
      <w:pPr>
        <w:spacing w:after="0" w:line="36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4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63A6"/>
        </w:rPr>
        <w:t>to be held at 9:00 am Pacific Time on Thursday, May 18, 2023</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Dropbox, Inc.:</w:t>
      </w:r>
    </w:p>
    <w:p>
      <w:pPr>
        <w:spacing w:after="0" w:line="147"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We cordially invite you to attend the 2023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18, 2023 at 9:00 am Pacific Time. The Annual Meeting will be conducted virtually via live audio webcast. You will be able to attend the Annual Meeting virtually by visiting www.virtualshareholdermeeting.com/DBX2023, where you will be able to listen to the meeting live, submit questions and vote online.</w:t>
      </w:r>
    </w:p>
    <w:p>
      <w:pPr>
        <w:spacing w:after="0" w:line="144"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4" w:right="34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eight directors to serve until the next annual meeting of stockholders and until their successors are duly elected and qualified;</w:t>
      </w:r>
    </w:p>
    <w:p>
      <w:pPr>
        <w:spacing w:after="0" w:line="141" w:lineRule="exact"/>
        <w:rPr>
          <w:rFonts w:ascii="Arial" w:cs="Arial" w:eastAsia="Arial" w:hAnsi="Arial"/>
          <w:sz w:val="16"/>
          <w:szCs w:val="16"/>
          <w:color w:val="auto"/>
        </w:rPr>
      </w:pPr>
    </w:p>
    <w:p>
      <w:pPr>
        <w:ind w:left="344" w:right="22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2023;</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and</w:t>
      </w:r>
    </w:p>
    <w:p>
      <w:pPr>
        <w:spacing w:after="0" w:line="167" w:lineRule="exact"/>
        <w:rPr>
          <w:rFonts w:ascii="Arial" w:cs="Arial" w:eastAsia="Arial" w:hAnsi="Arial"/>
          <w:sz w:val="16"/>
          <w:szCs w:val="16"/>
          <w:color w:val="auto"/>
        </w:rPr>
      </w:pPr>
    </w:p>
    <w:p>
      <w:pPr>
        <w:ind w:left="344" w:right="48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41" w:lineRule="exact"/>
        <w:rPr>
          <w:sz w:val="20"/>
          <w:szCs w:val="20"/>
          <w:color w:val="auto"/>
        </w:rPr>
      </w:pPr>
    </w:p>
    <w:p>
      <w:pPr>
        <w:jc w:val="both"/>
        <w:ind w:left="4" w:right="100"/>
        <w:spacing w:after="0" w:line="253" w:lineRule="auto"/>
        <w:rPr>
          <w:sz w:val="20"/>
          <w:szCs w:val="20"/>
          <w:color w:val="auto"/>
        </w:rPr>
      </w:pPr>
      <w:r>
        <w:rPr>
          <w:rFonts w:ascii="Arial" w:cs="Arial" w:eastAsia="Arial" w:hAnsi="Arial"/>
          <w:sz w:val="16"/>
          <w:szCs w:val="16"/>
          <w:color w:val="auto"/>
        </w:rPr>
        <w:t>Our board of directors has fixed the close of business on March 23, 2023 as the record date for the Annual Meeting. Stockholders of record on March 23, 2023 are entitled to notice of and to vote at the Annual Meeting. Further information regarding voting rights and the matters to be voted upon is presented in the accompanying proxy statement.</w:t>
      </w:r>
    </w:p>
    <w:p>
      <w:pPr>
        <w:spacing w:after="0" w:line="147"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1499870"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Andrew W. Houston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Co-Founder, and Chair of the Board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4, 2023</w:t>
      </w:r>
    </w:p>
    <w:p>
      <w:pPr>
        <w:spacing w:after="0" w:line="206" w:lineRule="exact"/>
        <w:rPr>
          <w:sz w:val="20"/>
          <w:szCs w:val="20"/>
          <w:color w:val="auto"/>
        </w:rPr>
      </w:pPr>
    </w:p>
    <w:p>
      <w:pPr>
        <w:ind w:left="4204"/>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 w:name="page3"/>
    <w:bookmarkEnd w:id="2"/>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TABLE OF CONTENTS</w:t>
      </w:r>
    </w:p>
    <w:p>
      <w:pPr>
        <w:spacing w:after="0" w:line="227" w:lineRule="exact"/>
        <w:rPr>
          <w:sz w:val="20"/>
          <w:szCs w:val="20"/>
          <w:color w:val="auto"/>
        </w:rPr>
      </w:pPr>
    </w:p>
    <w:p>
      <w:pPr>
        <w:ind w:left="720"/>
        <w:spacing w:after="0"/>
        <w:rPr>
          <w:sz w:val="20"/>
          <w:szCs w:val="20"/>
          <w:color w:val="auto"/>
        </w:rPr>
      </w:pPr>
      <w:r>
        <w:rPr>
          <w:rFonts w:ascii="Arial" w:cs="Arial" w:eastAsia="Arial" w:hAnsi="Arial"/>
          <w:sz w:val="4"/>
          <w:szCs w:val="4"/>
          <w:color w:val="auto"/>
        </w:rPr>
        <w:t>​</w:t>
      </w:r>
    </w:p>
    <w:p>
      <w:pPr>
        <w:spacing w:after="0" w:line="390" w:lineRule="exact"/>
        <w:rPr>
          <w:sz w:val="20"/>
          <w:szCs w:val="20"/>
          <w:color w:val="auto"/>
        </w:rPr>
      </w:pPr>
    </w:p>
    <w:p>
      <w:pPr>
        <w:ind w:left="780" w:hanging="62"/>
        <w:spacing w:after="0"/>
        <w:tabs>
          <w:tab w:leader="none" w:pos="780" w:val="left"/>
        </w:tabs>
        <w:numPr>
          <w:ilvl w:val="0"/>
          <w:numId w:val="7"/>
        </w:numPr>
        <w:rPr>
          <w:rFonts w:ascii="Arial" w:cs="Arial" w:eastAsia="Arial" w:hAnsi="Arial"/>
          <w:sz w:val="4"/>
          <w:szCs w:val="4"/>
          <w:color w:val="auto"/>
        </w:rPr>
      </w:pPr>
      <w:r>
        <w:rPr>
          <w:rFonts w:ascii="Arial" w:cs="Arial" w:eastAsia="Arial" w:hAnsi="Arial"/>
          <w:sz w:val="22"/>
          <w:szCs w:val="22"/>
          <w:b w:val="1"/>
          <w:bCs w:val="1"/>
          <w:u w:val="single" w:color="auto"/>
          <w:color w:val="0000EE"/>
        </w:rPr>
        <w:t>GENERAL INFORMATION</w:t>
      </w:r>
    </w:p>
    <w:p>
      <w:pPr>
        <w:spacing w:after="0" w:line="300" w:lineRule="exact"/>
        <w:rPr>
          <w:rFonts w:ascii="Arial" w:cs="Arial" w:eastAsia="Arial" w:hAnsi="Arial"/>
          <w:sz w:val="4"/>
          <w:szCs w:val="4"/>
          <w:color w:val="auto"/>
        </w:rPr>
      </w:pPr>
    </w:p>
    <w:p>
      <w:pPr>
        <w:ind w:left="780" w:hanging="62"/>
        <w:spacing w:after="0"/>
        <w:tabs>
          <w:tab w:leader="none" w:pos="780" w:val="left"/>
        </w:tabs>
        <w:numPr>
          <w:ilvl w:val="0"/>
          <w:numId w:val="7"/>
        </w:numPr>
        <w:rPr>
          <w:rFonts w:ascii="Arial" w:cs="Arial" w:eastAsia="Arial" w:hAnsi="Arial"/>
          <w:sz w:val="4"/>
          <w:szCs w:val="4"/>
          <w:color w:val="auto"/>
        </w:rPr>
      </w:pPr>
      <w:r>
        <w:rPr>
          <w:rFonts w:ascii="Arial" w:cs="Arial" w:eastAsia="Arial" w:hAnsi="Arial"/>
          <w:sz w:val="22"/>
          <w:szCs w:val="22"/>
          <w:b w:val="1"/>
          <w:bCs w:val="1"/>
          <w:u w:val="single" w:color="auto"/>
          <w:color w:val="0000EE"/>
        </w:rPr>
        <w:t>BOARD OF DIRECTORS AND CORPORATE GOVERNANCE</w:t>
      </w:r>
    </w:p>
    <w:p>
      <w:pPr>
        <w:spacing w:after="0" w:line="186"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Nominees for Director</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Director Independence</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Board Leadership Structure and Role of the Lead Independent Director</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Board Committees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Attendance at Board and Stockholder Meetings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Compensation Committee Interlocks and Insider Participation</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Considerations in Evaluating Director Nominees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Board Evaluations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Stockholder Recommendations and Nominations to the Board of Directors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Communications with the Board of Directors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Corporate Governance Guidelines and Code of Business Conduct and Ethics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Role of Board in Risk Oversight Process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Cybersecurity and Data Privacy Governance</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Environmental, Social and Governance Matters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Director Compensation</w:t>
      </w:r>
    </w:p>
    <w:p>
      <w:pPr>
        <w:spacing w:after="0" w:line="281" w:lineRule="exact"/>
        <w:rPr>
          <w:rFonts w:ascii="Arial" w:cs="Arial" w:eastAsia="Arial" w:hAnsi="Arial"/>
          <w:sz w:val="4"/>
          <w:szCs w:val="4"/>
          <w:color w:val="auto"/>
        </w:rPr>
      </w:pPr>
    </w:p>
    <w:p>
      <w:pPr>
        <w:ind w:left="780" w:hanging="62"/>
        <w:spacing w:after="0"/>
        <w:tabs>
          <w:tab w:leader="none" w:pos="780" w:val="left"/>
        </w:tabs>
        <w:numPr>
          <w:ilvl w:val="0"/>
          <w:numId w:val="7"/>
        </w:numPr>
        <w:rPr>
          <w:rFonts w:ascii="Arial" w:cs="Arial" w:eastAsia="Arial" w:hAnsi="Arial"/>
          <w:sz w:val="4"/>
          <w:szCs w:val="4"/>
          <w:color w:val="auto"/>
        </w:rPr>
      </w:pPr>
      <w:r>
        <w:rPr>
          <w:rFonts w:ascii="Arial" w:cs="Arial" w:eastAsia="Arial" w:hAnsi="Arial"/>
          <w:sz w:val="22"/>
          <w:szCs w:val="22"/>
          <w:b w:val="1"/>
          <w:bCs w:val="1"/>
          <w:u w:val="single" w:color="auto"/>
          <w:color w:val="0000EE"/>
        </w:rPr>
        <w:t>PROPOSAL NO. 1—ELECTION OF DIRECTORS</w:t>
      </w:r>
    </w:p>
    <w:p>
      <w:pPr>
        <w:spacing w:after="0" w:line="186"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Nominees</w:t>
      </w:r>
    </w:p>
    <w:p>
      <w:pPr>
        <w:spacing w:after="0" w:line="167" w:lineRule="exact"/>
        <w:rPr>
          <w:rFonts w:ascii="Arial" w:cs="Arial" w:eastAsia="Arial" w:hAnsi="Arial"/>
          <w:sz w:val="4"/>
          <w:szCs w:val="4"/>
          <w:color w:val="auto"/>
        </w:rPr>
      </w:pPr>
    </w:p>
    <w:p>
      <w:pPr>
        <w:ind w:left="1060" w:hanging="342"/>
        <w:spacing w:after="0"/>
        <w:tabs>
          <w:tab w:leader="none" w:pos="1060" w:val="left"/>
        </w:tabs>
        <w:numPr>
          <w:ilvl w:val="0"/>
          <w:numId w:val="7"/>
        </w:numPr>
        <w:rPr>
          <w:rFonts w:ascii="Arial" w:cs="Arial" w:eastAsia="Arial" w:hAnsi="Arial"/>
          <w:sz w:val="4"/>
          <w:szCs w:val="4"/>
          <w:color w:val="auto"/>
        </w:rPr>
      </w:pPr>
      <w:r>
        <w:rPr>
          <w:rFonts w:ascii="Arial" w:cs="Arial" w:eastAsia="Arial" w:hAnsi="Arial"/>
          <w:sz w:val="16"/>
          <w:szCs w:val="16"/>
          <w:u w:val="single" w:color="auto"/>
          <w:color w:val="0000EE"/>
        </w:rPr>
        <w:t>Vote Required</w:t>
      </w:r>
    </w:p>
    <w:p>
      <w:pPr>
        <w:spacing w:after="0" w:line="281" w:lineRule="exact"/>
        <w:rPr>
          <w:rFonts w:ascii="Arial" w:cs="Arial" w:eastAsia="Arial" w:hAnsi="Arial"/>
          <w:sz w:val="4"/>
          <w:szCs w:val="4"/>
          <w:color w:val="auto"/>
        </w:rPr>
      </w:pPr>
    </w:p>
    <w:p>
      <w:pPr>
        <w:ind w:left="780" w:right="740" w:hanging="62"/>
        <w:spacing w:after="0" w:line="261" w:lineRule="auto"/>
        <w:tabs>
          <w:tab w:leader="none" w:pos="780" w:val="left"/>
        </w:tabs>
        <w:numPr>
          <w:ilvl w:val="0"/>
          <w:numId w:val="7"/>
        </w:numPr>
        <w:rPr>
          <w:rFonts w:ascii="Arial" w:cs="Arial" w:eastAsia="Arial" w:hAnsi="Arial"/>
          <w:sz w:val="4"/>
          <w:szCs w:val="4"/>
          <w:color w:val="auto"/>
        </w:rPr>
      </w:pPr>
      <w:r>
        <w:rPr>
          <w:rFonts w:ascii="Arial" w:cs="Arial" w:eastAsia="Arial" w:hAnsi="Arial"/>
          <w:sz w:val="22"/>
          <w:szCs w:val="22"/>
          <w:b w:val="1"/>
          <w:bCs w:val="1"/>
          <w:u w:val="single" w:color="auto"/>
          <w:color w:val="0000EE"/>
        </w:rPr>
        <w:t>PROPOSAL NO. 2—RATIFICATION OF APPOINTMENT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60" w:type="dxa"/>
            <w:vAlign w:val="bottom"/>
            <w:gridSpan w:val="4"/>
          </w:tcPr>
          <w:p>
            <w:pPr>
              <w:jc w:val="right"/>
              <w:spacing w:after="0"/>
              <w:rPr>
                <w:sz w:val="20"/>
                <w:szCs w:val="20"/>
                <w:color w:val="auto"/>
              </w:rPr>
            </w:pPr>
            <w:r>
              <w:rPr>
                <w:rFonts w:ascii="Arial" w:cs="Arial" w:eastAsia="Arial" w:hAnsi="Arial"/>
                <w:sz w:val="14"/>
                <w:szCs w:val="14"/>
                <w:b w:val="1"/>
                <w:bCs w:val="1"/>
                <w:color w:val="auto"/>
              </w:rPr>
              <w:t>Page</w:t>
            </w:r>
            <w:r>
              <w:rPr>
                <w:rFonts w:ascii="Arial" w:cs="Arial" w:eastAsia="Arial" w:hAnsi="Arial"/>
                <w:sz w:val="3"/>
                <w:szCs w:val="3"/>
                <w:color w:val="auto"/>
              </w:rPr>
              <w:t>​</w:t>
            </w:r>
          </w:p>
        </w:tc>
      </w:tr>
      <w:tr>
        <w:trPr>
          <w:trHeight w:val="80"/>
        </w:trPr>
        <w:tc>
          <w:tcPr>
            <w:tcW w:w="1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39"/>
        </w:trPr>
        <w:tc>
          <w:tcPr>
            <w:tcW w:w="140" w:type="dxa"/>
            <w:vAlign w:val="bottom"/>
          </w:tcPr>
          <w:p>
            <w:pPr>
              <w:spacing w:after="0"/>
              <w:rPr>
                <w:sz w:val="20"/>
                <w:szCs w:val="20"/>
                <w:color w:val="auto"/>
              </w:rPr>
            </w:pPr>
            <w:r>
              <w:rPr>
                <w:rFonts w:ascii="Arial" w:cs="Arial" w:eastAsia="Arial" w:hAnsi="Arial"/>
                <w:sz w:val="7"/>
                <w:szCs w:val="7"/>
                <w:color w:val="auto"/>
                <w:w w:val="4294942296"/>
                <w:vertAlign w:val="superscript"/>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22"/>
                <w:szCs w:val="22"/>
                <w:b w:val="1"/>
                <w:bCs w:val="1"/>
                <w:color w:val="0000EE"/>
                <w:w w:val="76"/>
              </w:rPr>
              <w:t xml:space="preserve">1 </w:t>
            </w:r>
            <w:r>
              <w:rPr>
                <w:rFonts w:ascii="Arial" w:cs="Arial" w:eastAsia="Arial" w:hAnsi="Arial"/>
                <w:sz w:val="7"/>
                <w:szCs w:val="7"/>
                <w:color w:val="000000"/>
                <w:w w:val="76"/>
                <w:vertAlign w:val="superscript"/>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33"/>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22"/>
                <w:szCs w:val="22"/>
                <w:b w:val="1"/>
                <w:bCs w:val="1"/>
                <w:color w:val="0000EE"/>
                <w:w w:val="76"/>
              </w:rPr>
              <w:t xml:space="preserve">6 </w:t>
            </w:r>
            <w:r>
              <w:rPr>
                <w:rFonts w:ascii="Arial" w:cs="Arial" w:eastAsia="Arial" w:hAnsi="Arial"/>
                <w:sz w:val="3"/>
                <w:szCs w:val="3"/>
                <w:color w:val="000000"/>
                <w:w w:val="7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9"/>
              </w:rPr>
              <w:t>7</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0000EE"/>
                <w:w w:val="71"/>
              </w:rPr>
              <w:t xml:space="preserve">11 </w:t>
            </w:r>
            <w:r>
              <w:rPr>
                <w:rFonts w:ascii="Arial" w:cs="Arial" w:eastAsia="Arial" w:hAnsi="Arial"/>
                <w:sz w:val="3"/>
                <w:szCs w:val="3"/>
                <w:color w:val="000000"/>
                <w:w w:val="71"/>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0000EE"/>
                <w:w w:val="71"/>
              </w:rPr>
              <w:t xml:space="preserve">11 </w:t>
            </w:r>
            <w:r>
              <w:rPr>
                <w:rFonts w:ascii="Arial" w:cs="Arial" w:eastAsia="Arial" w:hAnsi="Arial"/>
                <w:sz w:val="3"/>
                <w:szCs w:val="3"/>
                <w:color w:val="000000"/>
                <w:w w:val="71"/>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12</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15</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15</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15</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16</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16</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17</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20</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0000EE"/>
                <w:w w:val="71"/>
              </w:rPr>
              <w:t xml:space="preserve">24 </w:t>
            </w:r>
            <w:r>
              <w:rPr>
                <w:rFonts w:ascii="Arial" w:cs="Arial" w:eastAsia="Arial" w:hAnsi="Arial"/>
                <w:sz w:val="3"/>
                <w:szCs w:val="3"/>
                <w:color w:val="000000"/>
                <w:w w:val="71"/>
              </w:rPr>
              <w:t>​</w:t>
            </w:r>
          </w:p>
        </w:tc>
      </w:tr>
      <w:tr>
        <w:trPr>
          <w:trHeight w:val="345"/>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80" w:type="dxa"/>
            <w:vAlign w:val="bottom"/>
            <w:tcBorders>
              <w:top w:val="single" w:sz="8" w:color="0000EE"/>
            </w:tcBorders>
          </w:tcPr>
          <w:p>
            <w:pPr>
              <w:jc w:val="right"/>
              <w:spacing w:after="0"/>
              <w:rPr>
                <w:sz w:val="20"/>
                <w:szCs w:val="20"/>
                <w:color w:val="auto"/>
              </w:rPr>
            </w:pPr>
            <w:r>
              <w:rPr>
                <w:rFonts w:ascii="Arial" w:cs="Arial" w:eastAsia="Arial" w:hAnsi="Arial"/>
                <w:sz w:val="10"/>
                <w:szCs w:val="10"/>
                <w:b w:val="1"/>
                <w:bCs w:val="1"/>
                <w:color w:val="0000EE"/>
                <w:w w:val="71"/>
              </w:rPr>
              <w:t>24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0000EE"/>
              </w:rPr>
              <w:t>24</w:t>
            </w: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503"/>
        </w:trPr>
        <w:tc>
          <w:tcPr>
            <w:tcW w:w="14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2"/>
                <w:szCs w:val="2"/>
                <w:color w:val="auto"/>
                <w:w w:val="4294942296"/>
              </w:rPr>
              <w:t>​</w:t>
            </w:r>
          </w:p>
        </w:tc>
      </w:tr>
      <w:tr>
        <w:trPr>
          <w:trHeight w:val="260"/>
        </w:trPr>
        <w:tc>
          <w:tcPr>
            <w:tcW w:w="14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22"/>
                <w:szCs w:val="22"/>
                <w:b w:val="1"/>
                <w:bCs w:val="1"/>
                <w:color w:val="0000EE"/>
              </w:rPr>
              <w:t>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9020" w:space="720"/>
            <w:col w:w="1280"/>
          </w:cols>
          <w:pgMar w:left="440" w:top="265" w:right="439" w:bottom="1440" w:gutter="0" w:footer="0" w:header="0"/>
        </w:sectPr>
      </w:pPr>
    </w:p>
    <w:tbl>
      <w:tblPr>
        <w:tblLayout w:type="fixed"/>
        <w:tblInd w:w="1060" w:type="dxa"/>
        <w:tblCellMar>
          <w:top w:w="0" w:type="dxa"/>
          <w:left w:w="0" w:type="dxa"/>
          <w:bottom w:w="0" w:type="dxa"/>
          <w:right w:w="0" w:type="dxa"/>
        </w:tblCellMar>
      </w:tblPr>
      <w:tr>
        <w:trPr>
          <w:trHeight w:val="184"/>
        </w:trPr>
        <w:tc>
          <w:tcPr>
            <w:tcW w:w="4660" w:type="dxa"/>
            <w:vAlign w:val="bottom"/>
            <w:gridSpan w:val="6"/>
          </w:tcPr>
          <w:p>
            <w:pPr>
              <w:spacing w:after="0"/>
              <w:rPr>
                <w:sz w:val="20"/>
                <w:szCs w:val="20"/>
                <w:color w:val="auto"/>
              </w:rPr>
            </w:pPr>
            <w:r>
              <w:rPr>
                <w:rFonts w:ascii="Arial" w:cs="Arial" w:eastAsia="Arial" w:hAnsi="Arial"/>
                <w:sz w:val="16"/>
                <w:szCs w:val="16"/>
                <w:color w:val="0000EE"/>
              </w:rPr>
              <w:t>Fees Paid to the Independent Registered Public Accounting Firm</w:t>
            </w:r>
          </w:p>
        </w:tc>
        <w:tc>
          <w:tcPr>
            <w:tcW w:w="388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 xml:space="preserve">25 </w:t>
            </w:r>
            <w:r>
              <w:rPr>
                <w:rFonts w:ascii="Arial" w:cs="Arial" w:eastAsia="Arial" w:hAnsi="Arial"/>
                <w:sz w:val="3"/>
                <w:szCs w:val="3"/>
                <w:color w:val="000000"/>
              </w:rPr>
              <w:t>​</w:t>
            </w:r>
          </w:p>
        </w:tc>
      </w:tr>
      <w:tr>
        <w:trPr>
          <w:trHeight w:val="20"/>
        </w:trPr>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660" w:type="dxa"/>
            <w:vAlign w:val="bottom"/>
            <w:gridSpan w:val="6"/>
          </w:tcPr>
          <w:p>
            <w:pPr>
              <w:spacing w:after="0"/>
              <w:rPr>
                <w:sz w:val="20"/>
                <w:szCs w:val="20"/>
                <w:color w:val="auto"/>
              </w:rPr>
            </w:pPr>
            <w:r>
              <w:rPr>
                <w:rFonts w:ascii="Arial" w:cs="Arial" w:eastAsia="Arial" w:hAnsi="Arial"/>
                <w:sz w:val="16"/>
                <w:szCs w:val="16"/>
                <w:color w:val="0000EE"/>
              </w:rPr>
              <w:t>Auditor Independence</w:t>
            </w:r>
          </w:p>
        </w:tc>
        <w:tc>
          <w:tcPr>
            <w:tcW w:w="388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 xml:space="preserve">26 </w:t>
            </w:r>
            <w:r>
              <w:rPr>
                <w:rFonts w:ascii="Arial" w:cs="Arial" w:eastAsia="Arial" w:hAnsi="Arial"/>
                <w:sz w:val="3"/>
                <w:szCs w:val="3"/>
                <w:color w:val="000000"/>
              </w:rPr>
              <w:t>​</w:t>
            </w:r>
          </w:p>
        </w:tc>
      </w:tr>
      <w:tr>
        <w:trPr>
          <w:trHeight w:val="20"/>
        </w:trPr>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5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Audit Committee Policy on Pre-Approval of Audit and Permissible Non-Audit Services of Independent Registered Public</w:t>
            </w:r>
          </w:p>
        </w:tc>
        <w:tc>
          <w:tcPr>
            <w:tcW w:w="300" w:type="dxa"/>
            <w:vAlign w:val="bottom"/>
          </w:tcPr>
          <w:p>
            <w:pPr>
              <w:ind w:left="1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169"/>
        </w:trPr>
        <w:tc>
          <w:tcPr>
            <w:tcW w:w="260" w:type="dxa"/>
            <w:vAlign w:val="bottom"/>
          </w:tcPr>
          <w:p>
            <w:pPr>
              <w:spacing w:after="0"/>
              <w:rPr>
                <w:sz w:val="14"/>
                <w:szCs w:val="14"/>
                <w:color w:val="auto"/>
              </w:rPr>
            </w:pPr>
          </w:p>
        </w:tc>
        <w:tc>
          <w:tcPr>
            <w:tcW w:w="1180" w:type="dxa"/>
            <w:vAlign w:val="bottom"/>
            <w:gridSpan w:val="2"/>
          </w:tcPr>
          <w:p>
            <w:pPr>
              <w:spacing w:after="0" w:line="169" w:lineRule="exact"/>
              <w:rPr>
                <w:sz w:val="20"/>
                <w:szCs w:val="20"/>
                <w:color w:val="auto"/>
              </w:rPr>
            </w:pPr>
            <w:r>
              <w:rPr>
                <w:rFonts w:ascii="Arial" w:cs="Arial" w:eastAsia="Arial" w:hAnsi="Arial"/>
                <w:sz w:val="16"/>
                <w:szCs w:val="16"/>
                <w:color w:val="0000EE"/>
              </w:rPr>
              <w:t>Accounting Firm</w:t>
            </w:r>
          </w:p>
        </w:tc>
        <w:tc>
          <w:tcPr>
            <w:tcW w:w="7100" w:type="dxa"/>
            <w:vAlign w:val="bottom"/>
            <w:gridSpan w:val="4"/>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3"/>
          </w:tcPr>
          <w:p>
            <w:pPr>
              <w:jc w:val="right"/>
              <w:ind w:right="42"/>
              <w:spacing w:after="0" w:line="169" w:lineRule="exact"/>
              <w:rPr>
                <w:sz w:val="20"/>
                <w:szCs w:val="20"/>
                <w:color w:val="auto"/>
              </w:rPr>
            </w:pPr>
            <w:r>
              <w:rPr>
                <w:rFonts w:ascii="Arial" w:cs="Arial" w:eastAsia="Arial" w:hAnsi="Arial"/>
                <w:sz w:val="16"/>
                <w:szCs w:val="16"/>
                <w:b w:val="1"/>
                <w:bCs w:val="1"/>
                <w:color w:val="0000EE"/>
              </w:rPr>
              <w:t>26</w:t>
            </w:r>
          </w:p>
        </w:tc>
      </w:tr>
      <w:tr>
        <w:trPr>
          <w:trHeight w:val="20"/>
        </w:trPr>
        <w:tc>
          <w:tcPr>
            <w:tcW w:w="2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540" w:type="dxa"/>
            <w:vAlign w:val="bottom"/>
            <w:gridSpan w:val="7"/>
          </w:tcPr>
          <w:p>
            <w:pPr>
              <w:spacing w:after="0"/>
              <w:rPr>
                <w:sz w:val="20"/>
                <w:szCs w:val="20"/>
                <w:color w:val="auto"/>
              </w:rPr>
            </w:pPr>
            <w:r>
              <w:rPr>
                <w:rFonts w:ascii="Arial" w:cs="Arial" w:eastAsia="Arial" w:hAnsi="Arial"/>
                <w:sz w:val="16"/>
                <w:szCs w:val="16"/>
                <w:color w:val="0000EE"/>
              </w:rPr>
              <w:t>Vote Required</w:t>
            </w:r>
          </w:p>
        </w:tc>
        <w:tc>
          <w:tcPr>
            <w:tcW w:w="300" w:type="dxa"/>
            <w:vAlign w:val="bottom"/>
          </w:tcPr>
          <w:p>
            <w:pPr>
              <w:ind w:left="1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 xml:space="preserve">26 </w:t>
            </w:r>
            <w:r>
              <w:rPr>
                <w:rFonts w:ascii="Arial" w:cs="Arial" w:eastAsia="Arial" w:hAnsi="Arial"/>
                <w:sz w:val="3"/>
                <w:szCs w:val="3"/>
                <w:color w:val="000000"/>
              </w:rPr>
              <w:t>​</w:t>
            </w: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2180" w:type="dxa"/>
            <w:vAlign w:val="bottom"/>
            <w:gridSpan w:val="5"/>
          </w:tcPr>
          <w:p>
            <w:pPr>
              <w:spacing w:after="0"/>
              <w:rPr>
                <w:sz w:val="20"/>
                <w:szCs w:val="20"/>
                <w:color w:val="auto"/>
              </w:rPr>
            </w:pPr>
            <w:r>
              <w:rPr>
                <w:rFonts w:ascii="Arial" w:cs="Arial" w:eastAsia="Arial" w:hAnsi="Arial"/>
                <w:sz w:val="16"/>
                <w:szCs w:val="16"/>
                <w:color w:val="0000EE"/>
              </w:rPr>
              <w:t>Report of the Audit Committee</w:t>
            </w:r>
          </w:p>
        </w:tc>
        <w:tc>
          <w:tcPr>
            <w:tcW w:w="6360" w:type="dxa"/>
            <w:vAlign w:val="bottom"/>
            <w:gridSpan w:val="2"/>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 xml:space="preserve">27 </w:t>
            </w:r>
            <w:r>
              <w:rPr>
                <w:rFonts w:ascii="Arial" w:cs="Arial" w:eastAsia="Arial" w:hAnsi="Arial"/>
                <w:sz w:val="3"/>
                <w:szCs w:val="3"/>
                <w:color w:val="000000"/>
              </w:rPr>
              <w:t>​</w:t>
            </w:r>
          </w:p>
        </w:tc>
      </w:tr>
      <w:tr>
        <w:trPr>
          <w:trHeight w:val="20"/>
        </w:trPr>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5" w:right="4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ind w:left="720"/>
              <w:spacing w:after="0"/>
              <w:rPr>
                <w:sz w:val="20"/>
                <w:szCs w:val="20"/>
                <w:color w:val="auto"/>
              </w:rPr>
            </w:pPr>
            <w:r>
              <w:rPr>
                <w:rFonts w:ascii="Arial" w:cs="Arial" w:eastAsia="Arial" w:hAnsi="Arial"/>
                <w:sz w:val="4"/>
                <w:szCs w:val="4"/>
                <w:color w:val="auto"/>
              </w:rPr>
              <w:t>​</w:t>
            </w:r>
          </w:p>
        </w:tc>
        <w:tc>
          <w:tcPr>
            <w:tcW w:w="8620" w:type="dxa"/>
            <w:vAlign w:val="bottom"/>
            <w:gridSpan w:val="5"/>
          </w:tcPr>
          <w:p>
            <w:pPr>
              <w:spacing w:after="0"/>
              <w:rPr>
                <w:sz w:val="20"/>
                <w:szCs w:val="20"/>
                <w:color w:val="auto"/>
              </w:rPr>
            </w:pPr>
            <w:r>
              <w:rPr>
                <w:rFonts w:ascii="Arial" w:cs="Arial" w:eastAsia="Arial" w:hAnsi="Arial"/>
                <w:sz w:val="22"/>
                <w:szCs w:val="22"/>
                <w:b w:val="1"/>
                <w:bCs w:val="1"/>
                <w:color w:val="0000EE"/>
              </w:rPr>
              <w:t>PROPOSAL NO. 3—ADVISORY VOTE ON THE COMPENSATION OF OUR NAMED</w:t>
            </w:r>
          </w:p>
        </w:tc>
        <w:tc>
          <w:tcPr>
            <w:tcW w:w="480" w:type="dxa"/>
            <w:vAlign w:val="bottom"/>
          </w:tcPr>
          <w:p>
            <w:pPr>
              <w:ind w:left="3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762"/>
              <w:spacing w:after="0"/>
              <w:rPr>
                <w:sz w:val="20"/>
                <w:szCs w:val="20"/>
                <w:color w:val="auto"/>
              </w:rPr>
            </w:pPr>
            <w:r>
              <w:rPr>
                <w:rFonts w:ascii="Arial" w:cs="Arial" w:eastAsia="Arial" w:hAnsi="Arial"/>
                <w:sz w:val="4"/>
                <w:szCs w:val="4"/>
                <w:color w:val="auto"/>
              </w:rPr>
              <w:t>​</w:t>
            </w:r>
          </w:p>
        </w:tc>
      </w:tr>
      <w:tr>
        <w:trPr>
          <w:trHeight w:val="230"/>
        </w:trPr>
        <w:tc>
          <w:tcPr>
            <w:tcW w:w="780" w:type="dxa"/>
            <w:vAlign w:val="bottom"/>
          </w:tcPr>
          <w:p>
            <w:pPr>
              <w:spacing w:after="0"/>
              <w:rPr>
                <w:sz w:val="19"/>
                <w:szCs w:val="19"/>
                <w:color w:val="auto"/>
              </w:rPr>
            </w:pPr>
          </w:p>
        </w:tc>
        <w:tc>
          <w:tcPr>
            <w:tcW w:w="8260" w:type="dxa"/>
            <w:vAlign w:val="bottom"/>
            <w:tcBorders>
              <w:top w:val="single" w:sz="8" w:color="0000EE"/>
            </w:tcBorders>
            <w:gridSpan w:val="4"/>
          </w:tcPr>
          <w:p>
            <w:pPr>
              <w:spacing w:after="0" w:line="229" w:lineRule="exact"/>
              <w:rPr>
                <w:sz w:val="20"/>
                <w:szCs w:val="20"/>
                <w:color w:val="auto"/>
              </w:rPr>
            </w:pPr>
            <w:r>
              <w:rPr>
                <w:rFonts w:ascii="Arial" w:cs="Arial" w:eastAsia="Arial" w:hAnsi="Arial"/>
                <w:sz w:val="22"/>
                <w:szCs w:val="22"/>
                <w:b w:val="1"/>
                <w:bCs w:val="1"/>
                <w:color w:val="0000EE"/>
              </w:rPr>
              <w:t>EXECUTIVE OFFICERS</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gridSpan w:val="2"/>
          </w:tcPr>
          <w:p>
            <w:pPr>
              <w:jc w:val="right"/>
              <w:spacing w:after="0" w:line="229" w:lineRule="exact"/>
              <w:rPr>
                <w:sz w:val="20"/>
                <w:szCs w:val="20"/>
                <w:color w:val="auto"/>
              </w:rPr>
            </w:pPr>
            <w:r>
              <w:rPr>
                <w:rFonts w:ascii="Arial" w:cs="Arial" w:eastAsia="Arial" w:hAnsi="Arial"/>
                <w:sz w:val="22"/>
                <w:szCs w:val="22"/>
                <w:b w:val="1"/>
                <w:bCs w:val="1"/>
                <w:color w:val="0000EE"/>
              </w:rPr>
              <w:t>28</w:t>
            </w:r>
          </w:p>
        </w:tc>
        <w:tc>
          <w:tcPr>
            <w:tcW w:w="8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4"/>
        </w:trPr>
        <w:tc>
          <w:tcPr>
            <w:tcW w:w="780" w:type="dxa"/>
            <w:vAlign w:val="bottom"/>
          </w:tcPr>
          <w:p>
            <w:pPr>
              <w:ind w:left="720"/>
              <w:spacing w:after="0"/>
              <w:rPr>
                <w:sz w:val="20"/>
                <w:szCs w:val="20"/>
                <w:color w:val="auto"/>
              </w:rPr>
            </w:pPr>
            <w:r>
              <w:rPr>
                <w:rFonts w:ascii="Arial" w:cs="Arial" w:eastAsia="Arial" w:hAnsi="Arial"/>
                <w:sz w:val="4"/>
                <w:szCs w:val="4"/>
                <w:color w:val="auto"/>
              </w:rPr>
              <w:t>​</w:t>
            </w:r>
          </w:p>
        </w:tc>
        <w:tc>
          <w:tcPr>
            <w:tcW w:w="28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0000EE"/>
              </w:rPr>
              <w:t>Vote Required</w:t>
            </w:r>
          </w:p>
        </w:tc>
        <w:tc>
          <w:tcPr>
            <w:tcW w:w="6240" w:type="dxa"/>
            <w:vAlign w:val="bottom"/>
            <w:gridSpan w:val="2"/>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20" w:type="dxa"/>
            <w:vAlign w:val="bottom"/>
          </w:tcPr>
          <w:p>
            <w:pPr>
              <w:spacing w:after="0"/>
              <w:rPr>
                <w:sz w:val="24"/>
                <w:szCs w:val="24"/>
                <w:color w:val="auto"/>
              </w:rPr>
            </w:pPr>
          </w:p>
        </w:tc>
        <w:tc>
          <w:tcPr>
            <w:tcW w:w="1020" w:type="dxa"/>
            <w:vAlign w:val="bottom"/>
            <w:gridSpan w:val="2"/>
          </w:tcPr>
          <w:p>
            <w:pPr>
              <w:jc w:val="right"/>
              <w:ind w:right="762"/>
              <w:spacing w:after="0"/>
              <w:rPr>
                <w:sz w:val="20"/>
                <w:szCs w:val="20"/>
                <w:color w:val="auto"/>
              </w:rPr>
            </w:pPr>
            <w:r>
              <w:rPr>
                <w:rFonts w:ascii="Arial" w:cs="Arial" w:eastAsia="Arial" w:hAnsi="Arial"/>
                <w:sz w:val="16"/>
                <w:szCs w:val="16"/>
                <w:b w:val="1"/>
                <w:bCs w:val="1"/>
                <w:color w:val="0000EE"/>
                <w:w w:val="98"/>
              </w:rPr>
              <w:t xml:space="preserve">28 </w:t>
            </w:r>
            <w:r>
              <w:rPr>
                <w:rFonts w:ascii="Arial" w:cs="Arial" w:eastAsia="Arial" w:hAnsi="Arial"/>
                <w:sz w:val="3"/>
                <w:szCs w:val="3"/>
                <w:color w:val="000000"/>
                <w:w w:val="98"/>
              </w:rPr>
              <w:t>​</w:t>
            </w:r>
          </w:p>
        </w:tc>
      </w:tr>
      <w:tr>
        <w:trPr>
          <w:trHeight w:val="298"/>
        </w:trPr>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5" w:right="439" w:bottom="1440" w:gutter="0" w:footer="0" w:header="0"/>
          <w:type w:val="continuous"/>
        </w:sectPr>
      </w:pPr>
    </w:p>
    <w:bookmarkStart w:id="3" w:name="page4"/>
    <w:bookmarkEnd w:id="3"/>
    <w:p>
      <w:pPr>
        <w:ind w:left="2"/>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32"/>
          <w:szCs w:val="32"/>
          <w:color w:val="0063A6"/>
        </w:rPr>
        <w:t>TABLE OF CONTENTS (continued)</w:t>
      </w:r>
    </w:p>
    <w:p>
      <w:pPr>
        <w:spacing w:after="0" w:line="10" w:lineRule="exact"/>
        <w:rPr>
          <w:sz w:val="20"/>
          <w:szCs w:val="20"/>
          <w:color w:val="auto"/>
        </w:rPr>
      </w:pPr>
    </w:p>
    <w:p>
      <w:pPr>
        <w:ind w:left="2"/>
        <w:spacing w:after="0"/>
        <w:rPr>
          <w:sz w:val="20"/>
          <w:szCs w:val="20"/>
          <w:color w:val="auto"/>
        </w:rPr>
      </w:pPr>
      <w:r>
        <w:rPr>
          <w:rFonts w:ascii="Arial" w:cs="Arial" w:eastAsia="Arial" w:hAnsi="Arial"/>
          <w:sz w:val="32"/>
          <w:szCs w:val="32"/>
          <w:color w:val="auto"/>
        </w:rPr>
        <w:t> </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4"/>
          <w:szCs w:val="4"/>
          <w:color w:val="auto"/>
        </w:rPr>
        <w:t>​</w:t>
      </w:r>
    </w:p>
    <w:p>
      <w:pPr>
        <w:spacing w:after="0" w:line="390" w:lineRule="exact"/>
        <w:rPr>
          <w:sz w:val="20"/>
          <w:szCs w:val="20"/>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EXECUTIVE OFFICERS</w:t>
      </w:r>
    </w:p>
    <w:p>
      <w:pPr>
        <w:spacing w:after="0" w:line="300" w:lineRule="exact"/>
        <w:rPr>
          <w:rFonts w:ascii="Arial" w:cs="Arial" w:eastAsia="Arial" w:hAnsi="Arial"/>
          <w:sz w:val="4"/>
          <w:szCs w:val="4"/>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EXECUTIVE COMPENSATION</w:t>
      </w:r>
    </w:p>
    <w:p>
      <w:pPr>
        <w:spacing w:after="0" w:line="186"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Compensation Discussion and Analysis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Executive Summary</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Executive Compensation Philosophy and Objectives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Compensation-Setting Process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Compensation Elements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Employment Arrangements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Post-Employment Compensation</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Tax and Accounting Considerations</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Report of the Compensation Committee</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Compensation Risk Assessment</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Summary Compensation Table for Fiscal Year 2022</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Grants of Plan-Based Awards in 2022</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Outstanding Equity Awards at 2022 Year-End</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Co-Founder Grant</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Option Exercises and Stock Vested in 2022</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Potential Payments on Termination or Change in Control</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CEO Pay Ratio</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Pay Versus Performance</w:t>
      </w:r>
    </w:p>
    <w:p>
      <w:pPr>
        <w:spacing w:after="0" w:line="281" w:lineRule="exact"/>
        <w:rPr>
          <w:rFonts w:ascii="Arial" w:cs="Arial" w:eastAsia="Arial" w:hAnsi="Arial"/>
          <w:sz w:val="4"/>
          <w:szCs w:val="4"/>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EQUITY COMPENSATION PLAN INFORMATION</w:t>
      </w:r>
    </w:p>
    <w:p>
      <w:pPr>
        <w:spacing w:after="0" w:line="300" w:lineRule="exact"/>
        <w:rPr>
          <w:rFonts w:ascii="Arial" w:cs="Arial" w:eastAsia="Arial" w:hAnsi="Arial"/>
          <w:sz w:val="4"/>
          <w:szCs w:val="4"/>
          <w:color w:val="auto"/>
        </w:rPr>
      </w:pPr>
    </w:p>
    <w:p>
      <w:pPr>
        <w:ind w:left="62" w:hanging="62"/>
        <w:spacing w:after="0"/>
        <w:tabs>
          <w:tab w:leader="none" w:pos="62" w:val="left"/>
        </w:tabs>
        <w:numPr>
          <w:ilvl w:val="0"/>
          <w:numId w:val="8"/>
        </w:numPr>
        <w:rPr>
          <w:rFonts w:ascii="Arial" w:cs="Arial" w:eastAsia="Arial" w:hAnsi="Arial"/>
          <w:sz w:val="3"/>
          <w:szCs w:val="3"/>
          <w:color w:val="auto"/>
        </w:rPr>
      </w:pPr>
      <w:r>
        <w:rPr>
          <w:rFonts w:ascii="Arial" w:cs="Arial" w:eastAsia="Arial" w:hAnsi="Arial"/>
          <w:sz w:val="21"/>
          <w:szCs w:val="21"/>
          <w:b w:val="1"/>
          <w:bCs w:val="1"/>
          <w:u w:val="single" w:color="auto"/>
          <w:color w:val="0000EE"/>
        </w:rPr>
        <w:t>SECURITY OWNERSHIP OF CERTAIN BENEFICIAL OWNERS AND MANAGEMENT</w:t>
      </w:r>
    </w:p>
    <w:p>
      <w:pPr>
        <w:spacing w:after="0" w:line="312" w:lineRule="exact"/>
        <w:rPr>
          <w:rFonts w:ascii="Arial" w:cs="Arial" w:eastAsia="Arial" w:hAnsi="Arial"/>
          <w:sz w:val="3"/>
          <w:szCs w:val="3"/>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CERTAIN RELATIONSHIPS, RELATED PARTY AND OTHER TRANSACTIONS</w:t>
      </w:r>
    </w:p>
    <w:p>
      <w:pPr>
        <w:spacing w:after="0" w:line="186"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Policies and Procedures for Related Person Transactions</w:t>
      </w:r>
    </w:p>
    <w:p>
      <w:pPr>
        <w:spacing w:after="0" w:line="281" w:lineRule="exact"/>
        <w:rPr>
          <w:rFonts w:ascii="Arial" w:cs="Arial" w:eastAsia="Arial" w:hAnsi="Arial"/>
          <w:sz w:val="4"/>
          <w:szCs w:val="4"/>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OTHER MATTERS</w:t>
      </w:r>
    </w:p>
    <w:p>
      <w:pPr>
        <w:spacing w:after="0" w:line="186"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Section 16(a) Beneficial Ownership Reporting Compliance</w:t>
      </w:r>
    </w:p>
    <w:p>
      <w:pPr>
        <w:spacing w:after="0" w:line="167"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Fiscal Year 2022 Annual Report and SEC Filings</w:t>
      </w:r>
    </w:p>
    <w:p>
      <w:pPr>
        <w:spacing w:after="0" w:line="281" w:lineRule="exact"/>
        <w:rPr>
          <w:rFonts w:ascii="Arial" w:cs="Arial" w:eastAsia="Arial" w:hAnsi="Arial"/>
          <w:sz w:val="4"/>
          <w:szCs w:val="4"/>
          <w:color w:val="auto"/>
        </w:rPr>
      </w:pPr>
    </w:p>
    <w:p>
      <w:pPr>
        <w:ind w:left="62" w:hanging="62"/>
        <w:spacing w:after="0"/>
        <w:tabs>
          <w:tab w:leader="none" w:pos="62" w:val="left"/>
        </w:tabs>
        <w:numPr>
          <w:ilvl w:val="0"/>
          <w:numId w:val="8"/>
        </w:numPr>
        <w:rPr>
          <w:rFonts w:ascii="Arial" w:cs="Arial" w:eastAsia="Arial" w:hAnsi="Arial"/>
          <w:sz w:val="4"/>
          <w:szCs w:val="4"/>
          <w:color w:val="auto"/>
        </w:rPr>
      </w:pPr>
      <w:r>
        <w:rPr>
          <w:rFonts w:ascii="Arial" w:cs="Arial" w:eastAsia="Arial" w:hAnsi="Arial"/>
          <w:sz w:val="22"/>
          <w:szCs w:val="22"/>
          <w:b w:val="1"/>
          <w:bCs w:val="1"/>
          <w:u w:val="single" w:color="auto"/>
          <w:color w:val="0000EE"/>
        </w:rPr>
        <w:t>APPENDIX A</w:t>
      </w:r>
    </w:p>
    <w:p>
      <w:pPr>
        <w:spacing w:after="0" w:line="186" w:lineRule="exact"/>
        <w:rPr>
          <w:rFonts w:ascii="Arial" w:cs="Arial" w:eastAsia="Arial" w:hAnsi="Arial"/>
          <w:sz w:val="4"/>
          <w:szCs w:val="4"/>
          <w:color w:val="auto"/>
        </w:rPr>
      </w:pPr>
    </w:p>
    <w:p>
      <w:pPr>
        <w:ind w:left="342" w:hanging="342"/>
        <w:spacing w:after="0"/>
        <w:tabs>
          <w:tab w:leader="none" w:pos="342" w:val="left"/>
        </w:tabs>
        <w:numPr>
          <w:ilvl w:val="0"/>
          <w:numId w:val="8"/>
        </w:numPr>
        <w:rPr>
          <w:rFonts w:ascii="Arial" w:cs="Arial" w:eastAsia="Arial" w:hAnsi="Arial"/>
          <w:sz w:val="4"/>
          <w:szCs w:val="4"/>
          <w:color w:val="auto"/>
        </w:rPr>
      </w:pPr>
      <w:r>
        <w:rPr>
          <w:rFonts w:ascii="Arial" w:cs="Arial" w:eastAsia="Arial" w:hAnsi="Arial"/>
          <w:sz w:val="16"/>
          <w:szCs w:val="16"/>
          <w:u w:val="single" w:color="auto"/>
          <w:color w:val="0000EE"/>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182245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0" w:val="left"/>
          <w:tab w:leader="none" w:pos="1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b w:val="1"/>
          <w:bCs w:val="1"/>
          <w:color w:val="auto"/>
        </w:rPr>
        <w:t>Page</w:t>
      </w: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69215</wp:posOffset>
            </wp:positionV>
            <wp:extent cx="222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1"/>
                <w:szCs w:val="1"/>
                <w:color w:val="auto"/>
                <w:w w:val="4294942296"/>
                <w:vertAlign w:val="subscript"/>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29</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30</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30</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30</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32</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33</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37</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44</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44</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45</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47</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48</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49</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50</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51</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51</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52</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52</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55</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56</w:t>
            </w:r>
            <w:r>
              <w:rPr>
                <w:rFonts w:ascii="Arial" w:cs="Arial" w:eastAsia="Arial" w:hAnsi="Arial"/>
                <w:sz w:val="3"/>
                <w:szCs w:val="3"/>
                <w:color w:val="000000"/>
              </w:rPr>
              <w:t>​</w:t>
            </w:r>
          </w:p>
        </w:tc>
      </w:tr>
      <w:tr>
        <w:trPr>
          <w:trHeight w:val="520"/>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60</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61</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63</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63</w:t>
            </w:r>
            <w:r>
              <w:rPr>
                <w:rFonts w:ascii="Arial" w:cs="Arial" w:eastAsia="Arial" w:hAnsi="Arial"/>
                <w:sz w:val="3"/>
                <w:szCs w:val="3"/>
                <w:color w:val="000000"/>
              </w:rPr>
              <w:t>​</w:t>
            </w:r>
          </w:p>
        </w:tc>
      </w:tr>
      <w:tr>
        <w:trPr>
          <w:trHeight w:val="520"/>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gridSpan w:val="2"/>
          </w:tcPr>
          <w:p>
            <w:pPr>
              <w:jc w:val="right"/>
              <w:spacing w:after="0"/>
              <w:rPr>
                <w:sz w:val="20"/>
                <w:szCs w:val="20"/>
                <w:color w:val="auto"/>
              </w:rPr>
            </w:pPr>
            <w:r>
              <w:rPr>
                <w:rFonts w:ascii="Arial" w:cs="Arial" w:eastAsia="Arial" w:hAnsi="Arial"/>
                <w:sz w:val="22"/>
                <w:szCs w:val="22"/>
                <w:b w:val="1"/>
                <w:bCs w:val="1"/>
                <w:color w:val="0000EE"/>
                <w:w w:val="73"/>
              </w:rPr>
              <w:t>64</w:t>
            </w:r>
            <w:r>
              <w:rPr>
                <w:rFonts w:ascii="Arial" w:cs="Arial" w:eastAsia="Arial" w:hAnsi="Arial"/>
                <w:sz w:val="3"/>
                <w:szCs w:val="3"/>
                <w:color w:val="000000"/>
                <w:w w:val="73"/>
              </w:rPr>
              <w: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64</w:t>
            </w:r>
            <w:r>
              <w:rPr>
                <w:rFonts w:ascii="Arial" w:cs="Arial" w:eastAsia="Arial" w:hAnsi="Arial"/>
                <w:sz w:val="3"/>
                <w:szCs w:val="3"/>
                <w:color w:val="000000"/>
              </w:rPr>
              <w:t>​</w:t>
            </w:r>
          </w:p>
        </w:tc>
      </w:tr>
      <w:tr>
        <w:trPr>
          <w:trHeight w:val="331"/>
        </w:trPr>
        <w:tc>
          <w:tcPr>
            <w:tcW w:w="30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rPr>
              <w:t>64</w:t>
            </w:r>
            <w:r>
              <w:rPr>
                <w:rFonts w:ascii="Arial" w:cs="Arial" w:eastAsia="Arial" w:hAnsi="Arial"/>
                <w:sz w:val="3"/>
                <w:szCs w:val="3"/>
                <w:color w:val="000000"/>
              </w:rPr>
              <w:t>​</w:t>
            </w:r>
          </w:p>
        </w:tc>
      </w:tr>
    </w:tbl>
    <w:p>
      <w:pPr>
        <w:spacing w:after="0" w:line="290" w:lineRule="exact"/>
        <w:rPr>
          <w:sz w:val="20"/>
          <w:szCs w:val="20"/>
          <w:color w:val="auto"/>
        </w:rPr>
      </w:pPr>
    </w:p>
    <w:p>
      <w:pPr>
        <w:spacing w:after="0"/>
        <w:tabs>
          <w:tab w:leader="none" w:pos="60" w:val="left"/>
          <w:tab w:leader="none" w:pos="1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2"/>
          <w:szCs w:val="22"/>
          <w:b w:val="1"/>
          <w:bCs w:val="1"/>
          <w:u w:val="single" w:color="auto"/>
          <w:color w:val="0000EE"/>
        </w:rPr>
        <w:t>A-1</w:t>
      </w:r>
      <w:r>
        <w:rPr>
          <w:rFonts w:ascii="Arial" w:cs="Arial" w:eastAsia="Arial" w:hAnsi="Arial"/>
          <w:sz w:val="3"/>
          <w:szCs w:val="3"/>
          <w:color w:val="000000"/>
        </w:rPr>
        <w:t>​</w:t>
      </w:r>
    </w:p>
    <w:p>
      <w:pPr>
        <w:spacing w:after="0" w:line="164" w:lineRule="exact"/>
        <w:rPr>
          <w:sz w:val="20"/>
          <w:szCs w:val="20"/>
          <w:color w:val="auto"/>
        </w:rPr>
      </w:pPr>
    </w:p>
    <w:p>
      <w:pPr>
        <w:spacing w:after="0"/>
        <w:tabs>
          <w:tab w:leader="none" w:pos="60" w:val="left"/>
          <w:tab w:leader="none" w:pos="2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b w:val="1"/>
          <w:bCs w:val="1"/>
          <w:u w:val="single" w:color="auto"/>
          <w:color w:val="0000EE"/>
        </w:rPr>
        <w:t>A-1</w:t>
      </w:r>
      <w:r>
        <w:rPr>
          <w:rFonts w:ascii="Arial" w:cs="Arial" w:eastAsia="Arial" w:hAnsi="Arial"/>
          <w:sz w:val="3"/>
          <w:szCs w:val="3"/>
          <w:color w:val="000000"/>
        </w:rPr>
        <w:t>​</w:t>
      </w:r>
    </w:p>
    <w:p>
      <w:pPr>
        <w:sectPr>
          <w:pgSz w:w="11900" w:h="16838" w:orient="portrait"/>
          <w:cols w:equalWidth="0" w:num="2">
            <w:col w:w="8462" w:space="560"/>
            <w:col w:w="500"/>
          </w:cols>
          <w:pgMar w:left="1158" w:top="265" w:right="1219" w:bottom="1440" w:gutter="0" w:footer="0" w:header="0"/>
        </w:sectPr>
      </w:pPr>
    </w:p>
    <w:bookmarkStart w:id="4" w:name="page5"/>
    <w:bookmarkEnd w:id="4"/>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26"/>
          <w:szCs w:val="26"/>
          <w:color w:val="0063A6"/>
        </w:rPr>
        <w:t>DROPBOX, INC.</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26"/>
          <w:szCs w:val="26"/>
          <w:color w:val="0063A6"/>
        </w:rPr>
        <w:t>PROXY STATEMENT</w:t>
      </w:r>
    </w:p>
    <w:p>
      <w:pPr>
        <w:jc w:val="center"/>
        <w:ind w:left="1160" w:right="1360"/>
        <w:spacing w:after="0" w:line="244" w:lineRule="auto"/>
        <w:rPr>
          <w:sz w:val="20"/>
          <w:szCs w:val="20"/>
          <w:color w:val="auto"/>
        </w:rPr>
      </w:pPr>
      <w:r>
        <w:rPr>
          <w:rFonts w:ascii="Arial" w:cs="Arial" w:eastAsia="Arial" w:hAnsi="Arial"/>
          <w:sz w:val="26"/>
          <w:szCs w:val="26"/>
          <w:color w:val="0063A6"/>
        </w:rPr>
        <w:t>FOR THE 2023 ANNUAL MEETING OF STOCKHOLDERS to be held at 9:00 am Pacific Time on Thursday, May 18, 2023</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directors for use at the 2023 annual meeting of stockholders of Dropbox, Inc., a Delaware corporation, and any postponements,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Annual Meeting will be held on Thursday, May 18, 2023 at</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9:00 am Pacific Time. The Annual Meeting will be conducted virtually via live audio webcast. You will be able to attend the Annual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Meeting virtually by visiting www.virtualshareholdermeeting.com/DBX2023, where you will be able to listen to the meeting live, submit</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access this proxy statement and our annual report is first being mailed on or about April 4, 2023 to all stockholders entitled to vote at</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Annual Meeting. The proxy materials and our 2022 annual report can be accessed by following the instructions in the Notice.</w:t>
      </w:r>
    </w:p>
    <w:p>
      <w:pPr>
        <w:spacing w:after="0" w:line="167"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What matters am I voting on?</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You are being asked to vote on:</w:t>
      </w:r>
    </w:p>
    <w:p>
      <w:pPr>
        <w:spacing w:after="0" w:line="167" w:lineRule="exact"/>
        <w:rPr>
          <w:sz w:val="20"/>
          <w:szCs w:val="20"/>
          <w:color w:val="auto"/>
        </w:rPr>
      </w:pPr>
    </w:p>
    <w:p>
      <w:pPr>
        <w:ind w:left="284" w:right="100" w:hanging="284"/>
        <w:spacing w:after="0" w:line="260" w:lineRule="auto"/>
        <w:tabs>
          <w:tab w:leader="none" w:pos="284" w:val="left"/>
        </w:tabs>
        <w:numPr>
          <w:ilvl w:val="0"/>
          <w:numId w:val="9"/>
        </w:numPr>
        <w:rPr>
          <w:rFonts w:ascii="Arial" w:cs="Arial" w:eastAsia="Arial" w:hAnsi="Arial"/>
          <w:sz w:val="16"/>
          <w:szCs w:val="16"/>
          <w:color w:val="0063A6"/>
        </w:rPr>
      </w:pPr>
      <w:r>
        <w:rPr>
          <w:rFonts w:ascii="Arial" w:cs="Arial" w:eastAsia="Arial" w:hAnsi="Arial"/>
          <w:sz w:val="16"/>
          <w:szCs w:val="16"/>
          <w:color w:val="auto"/>
        </w:rPr>
        <w:t>the election of eight directors to serve until the next annual meeting of stockholders or until their successors are duly elected and qualified;</w:t>
      </w:r>
    </w:p>
    <w:p>
      <w:pPr>
        <w:spacing w:after="0" w:line="141" w:lineRule="exact"/>
        <w:rPr>
          <w:rFonts w:ascii="Arial" w:cs="Arial" w:eastAsia="Arial" w:hAnsi="Arial"/>
          <w:sz w:val="16"/>
          <w:szCs w:val="16"/>
          <w:color w:val="0063A6"/>
        </w:rPr>
      </w:pPr>
    </w:p>
    <w:p>
      <w:pPr>
        <w:ind w:left="284" w:right="80" w:hanging="284"/>
        <w:spacing w:after="0" w:line="260" w:lineRule="auto"/>
        <w:tabs>
          <w:tab w:leader="none" w:pos="284" w:val="left"/>
        </w:tabs>
        <w:numPr>
          <w:ilvl w:val="0"/>
          <w:numId w:val="9"/>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2023;</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9"/>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 and</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9"/>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284" w:hanging="284"/>
        <w:spacing w:after="0"/>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284" w:right="80" w:hanging="284"/>
        <w:spacing w:after="0" w:line="260" w:lineRule="auto"/>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2023; and</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w:t>
      </w:r>
    </w:p>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32" w:lineRule="exact"/>
        <w:rPr>
          <w:sz w:val="20"/>
          <w:szCs w:val="20"/>
          <w:color w:val="auto"/>
        </w:rPr>
      </w:pPr>
    </w:p>
    <w:p>
      <w:pPr>
        <w:ind w:left="284" w:right="180" w:hanging="284"/>
        <w:spacing w:after="0" w:line="254" w:lineRule="auto"/>
        <w:tabs>
          <w:tab w:leader="none" w:pos="284" w:val="left"/>
        </w:tabs>
        <w:numPr>
          <w:ilvl w:val="0"/>
          <w:numId w:val="11"/>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w:t>
      </w:r>
      <w:r>
        <w:rPr>
          <w:rFonts w:ascii="Arial" w:cs="Arial" w:eastAsia="Arial" w:hAnsi="Arial"/>
          <w:sz w:val="16"/>
          <w:szCs w:val="16"/>
          <w:b w:val="1"/>
          <w:bCs w:val="1"/>
          <w:color w:val="0063A6"/>
        </w:rPr>
        <w:t xml:space="preserve"> </w:t>
      </w:r>
      <w:r>
        <w:rPr>
          <w:rFonts w:ascii="Arial" w:cs="Arial" w:eastAsia="Arial" w:hAnsi="Arial"/>
          <w:sz w:val="16"/>
          <w:szCs w:val="16"/>
          <w:color w:val="000000"/>
        </w:rPr>
        <w:t>meeting and entitled to 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8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5" w:name="page6"/>
    <w:bookmarkEnd w:id="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84" w:right="180" w:hanging="284"/>
        <w:spacing w:after="0" w:line="249" w:lineRule="auto"/>
        <w:tabs>
          <w:tab w:leader="none" w:pos="284" w:val="left"/>
        </w:tabs>
        <w:numPr>
          <w:ilvl w:val="0"/>
          <w:numId w:val="12"/>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w:t>
      </w:r>
      <w:r>
        <w:rPr>
          <w:rFonts w:ascii="Arial" w:cs="Arial" w:eastAsia="Arial" w:hAnsi="Arial"/>
          <w:sz w:val="16"/>
          <w:szCs w:val="16"/>
          <w:b w:val="1"/>
          <w:bCs w:val="1"/>
          <w:color w:val="0063A6"/>
        </w:rPr>
        <w:t xml:space="preserve"> </w:t>
      </w:r>
      <w:r>
        <w:rPr>
          <w:rFonts w:ascii="Arial" w:cs="Arial" w:eastAsia="Arial" w:hAnsi="Arial"/>
          <w:sz w:val="16"/>
          <w:szCs w:val="16"/>
          <w:color w:val="000000"/>
        </w:rPr>
        <w:t>for our fiscal year ending December 31, 2023, requires the affirmative vote of a majority of the voting power of the shares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30" w:lineRule="exact"/>
        <w:rPr>
          <w:rFonts w:ascii="Arial" w:cs="Arial" w:eastAsia="Arial" w:hAnsi="Arial"/>
          <w:sz w:val="16"/>
          <w:szCs w:val="16"/>
          <w:color w:val="0063A6"/>
        </w:rPr>
      </w:pPr>
    </w:p>
    <w:p>
      <w:pPr>
        <w:ind w:left="284" w:hanging="284"/>
        <w:spacing w:after="0" w:line="253" w:lineRule="auto"/>
        <w:tabs>
          <w:tab w:leader="none" w:pos="284" w:val="left"/>
        </w:tabs>
        <w:numPr>
          <w:ilvl w:val="0"/>
          <w:numId w:val="12"/>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of a majority of the voting power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Who is entitled to vote?</w:t>
      </w:r>
    </w:p>
    <w:p>
      <w:pPr>
        <w:spacing w:after="0" w:line="52"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Holders of our Class A and Class B common stock as of the close of business on March 23, 2023, the record date for the Annual Meeting, may vote at the Annual Meeting. As of the record date, there were 271,962,132 shares of our Class A common stock outstanding and 81,676,431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34"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w:t>
      </w:r>
      <w:r>
        <w:rPr>
          <w:rFonts w:ascii="Arial" w:cs="Arial" w:eastAsia="Arial" w:hAnsi="Arial"/>
          <w:sz w:val="16"/>
          <w:szCs w:val="16"/>
          <w:b w:val="1"/>
          <w:bCs w:val="1"/>
          <w:color w:val="0063A6"/>
        </w:rPr>
        <w:t xml:space="preserve"> </w:t>
      </w:r>
      <w:r>
        <w:rPr>
          <w:rFonts w:ascii="Arial" w:cs="Arial" w:eastAsia="Arial" w:hAnsi="Arial"/>
          <w:sz w:val="16"/>
          <w:szCs w:val="16"/>
          <w:color w:val="000000"/>
        </w:rPr>
        <w:t>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26"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w:t>
      </w:r>
      <w:r>
        <w:rPr>
          <w:rFonts w:ascii="Arial" w:cs="Arial" w:eastAsia="Arial" w:hAnsi="Arial"/>
          <w:sz w:val="16"/>
          <w:szCs w:val="16"/>
          <w:b w:val="1"/>
          <w:bCs w:val="1"/>
          <w:color w:val="0063A6"/>
        </w:rPr>
        <w:t xml:space="preserve"> </w:t>
      </w:r>
      <w:r>
        <w:rPr>
          <w:rFonts w:ascii="Arial" w:cs="Arial" w:eastAsia="Arial" w:hAnsi="Arial"/>
          <w:sz w:val="16"/>
          <w:szCs w:val="16"/>
          <w:color w:val="000000"/>
        </w:rPr>
        <w:t>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Are a certain number of shares required to be present at the Annual Meeting?</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A quorum is the minimum number of voting power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do I vote?</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284" w:right="40" w:hanging="284"/>
        <w:spacing w:after="0" w:line="253" w:lineRule="auto"/>
        <w:tabs>
          <w:tab w:leader="none" w:pos="284"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17, 2023 for shares held directly and by 11:59 p.m. Eastern Time on May 15, 2023 for shares held in a Dropbox, Inc. employee stock ownership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(have your Notice or proxy card in hand when you visit the website);</w:t>
      </w:r>
    </w:p>
    <w:p>
      <w:pPr>
        <w:spacing w:after="0" w:line="147" w:lineRule="exact"/>
        <w:rPr>
          <w:rFonts w:ascii="Arial" w:cs="Arial" w:eastAsia="Arial" w:hAnsi="Arial"/>
          <w:sz w:val="16"/>
          <w:szCs w:val="16"/>
          <w:color w:val="0063A6"/>
        </w:rPr>
      </w:pPr>
    </w:p>
    <w:p>
      <w:pPr>
        <w:ind w:left="284" w:right="460" w:hanging="284"/>
        <w:spacing w:after="0" w:line="260" w:lineRule="auto"/>
        <w:tabs>
          <w:tab w:leader="none" w:pos="284"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17, 2023 for shares held directly and by 11:59 p.m. Eastern Time on May 15, 2023 for shares held in a Plan (have your Notice or proxy card in hand when you call);</w:t>
      </w:r>
    </w:p>
    <w:p>
      <w:pPr>
        <w:spacing w:after="0" w:line="18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b w:val="1"/>
          <w:bCs w:val="1"/>
          <w:color w:val="0063A6"/>
        </w:rPr>
        <w:tab/>
        <w:t xml:space="preserve">Dropbox, Inc.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6" w:name="page7"/>
    <w:bookmarkEnd w:id="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84" w:hanging="284"/>
        <w:spacing w:after="0"/>
        <w:tabs>
          <w:tab w:leader="none" w:pos="284"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by completing and mailing your proxy card (if you received printed proxy materials); or</w:t>
      </w:r>
    </w:p>
    <w:p>
      <w:pPr>
        <w:spacing w:after="0" w:line="167" w:lineRule="exact"/>
        <w:rPr>
          <w:rFonts w:ascii="Arial" w:cs="Arial" w:eastAsia="Arial" w:hAnsi="Arial"/>
          <w:sz w:val="16"/>
          <w:szCs w:val="16"/>
          <w:color w:val="0063A6"/>
        </w:rPr>
      </w:pPr>
    </w:p>
    <w:p>
      <w:pPr>
        <w:ind w:left="284" w:right="460" w:hanging="284"/>
        <w:spacing w:after="0" w:line="260" w:lineRule="auto"/>
        <w:tabs>
          <w:tab w:leader="none" w:pos="284"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www.virtualshareholdermeeting.com/DBX2023, where you may vote and submit questions during the meeting (please have your Notice or proxy card in hand when you visit the website).</w:t>
      </w:r>
    </w:p>
    <w:p>
      <w:pPr>
        <w:spacing w:after="0" w:line="141" w:lineRule="exact"/>
        <w:rPr>
          <w:sz w:val="20"/>
          <w:szCs w:val="20"/>
          <w:color w:val="auto"/>
        </w:rPr>
      </w:pPr>
    </w:p>
    <w:p>
      <w:pPr>
        <w:ind w:left="4" w:right="360"/>
        <w:spacing w:after="0" w:line="260"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41"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66" w:lineRule="exact"/>
        <w:rPr>
          <w:sz w:val="20"/>
          <w:szCs w:val="20"/>
          <w:color w:val="auto"/>
        </w:rPr>
      </w:pPr>
    </w:p>
    <w:p>
      <w:pPr>
        <w:ind w:left="4" w:right="200"/>
        <w:spacing w:after="0" w:line="249"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2023. Your broker will not have discretion to vote on any other proposals, which are “non-routine” matters, absent direction from you (and failure to provide instructions on these matters will result in a “broker non-vote”).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Can I change my vote?</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284" w:hanging="284"/>
        <w:spacing w:after="0"/>
        <w:tabs>
          <w:tab w:leader="none" w:pos="284"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284" w:right="400" w:hanging="284"/>
        <w:spacing w:after="0" w:line="260" w:lineRule="auto"/>
        <w:tabs>
          <w:tab w:leader="none" w:pos="284"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41" w:lineRule="exact"/>
        <w:rPr>
          <w:rFonts w:ascii="Arial" w:cs="Arial" w:eastAsia="Arial" w:hAnsi="Arial"/>
          <w:sz w:val="16"/>
          <w:szCs w:val="16"/>
          <w:color w:val="0063A6"/>
        </w:rPr>
      </w:pPr>
    </w:p>
    <w:p>
      <w:pPr>
        <w:ind w:left="284" w:right="240" w:hanging="284"/>
        <w:spacing w:after="0" w:line="260" w:lineRule="auto"/>
        <w:tabs>
          <w:tab w:leader="none" w:pos="284"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41" w:lineRule="exact"/>
        <w:rPr>
          <w:sz w:val="20"/>
          <w:szCs w:val="20"/>
          <w:color w:val="auto"/>
        </w:rPr>
      </w:pPr>
    </w:p>
    <w:p>
      <w:pPr>
        <w:ind w:left="4" w:right="280"/>
        <w:spacing w:after="0" w:line="260" w:lineRule="auto"/>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52"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You will be able to attend the Annual Meeting virtually, submit your questions during the meeting and vote your shares electronically at the meeting by visiting www.virtualshareholdermeeting.com/DBX2023.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66"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19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Why did I receive a Notice of Internet Availability of Proxy Materials instead of a full set of proxy materials?</w:t>
      </w:r>
    </w:p>
    <w:p>
      <w:pPr>
        <w:spacing w:after="0" w:line="12"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furnish our proxy materials, including this proxy statement and our annual report, primarily via the Internet. The Notice containing instructions on how to access our proxy materials is first being mailed on or about April 4, 2023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ind w:right="40"/>
        <w:spacing w:after="0" w:line="248"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(415) 857-6800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2024 annual meeting of stockholders, our Corporate Secretary must receive the written proposal at our principal executive offices not later than December 6, 2023. In addition, stockholder proposals must comply with the requirements of Rule 14a-8 regarding the inclusion of stockholder proposals in company-sponsored proxy materials. Stockholder proposals should be addressed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(415) 857-6800</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b w:val="1"/>
          <w:bCs w:val="1"/>
          <w:color w:val="0063A6"/>
        </w:rPr>
        <w:tab/>
        <w:t xml:space="preserve">Dropbox, Inc.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8" w:name="page9"/>
    <w:bookmarkEnd w:id="8"/>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GENERAL INFORMATION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right="100"/>
        <w:spacing w:after="0" w:line="246"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w:t>
      </w:r>
    </w:p>
    <w:p>
      <w:pPr>
        <w:spacing w:after="0" w:line="1" w:lineRule="exact"/>
        <w:rPr>
          <w:sz w:val="20"/>
          <w:szCs w:val="20"/>
          <w:color w:val="auto"/>
        </w:rPr>
      </w:pPr>
    </w:p>
    <w:p>
      <w:pPr>
        <w:ind w:left="4" w:right="40" w:hanging="4"/>
        <w:spacing w:after="0" w:line="250" w:lineRule="auto"/>
        <w:tabs>
          <w:tab w:leader="none" w:pos="1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2024 annual meeting of stockholders, our Corporate Secretary must receive the written notice at our principal executive offices:</w:t>
      </w:r>
    </w:p>
    <w:p>
      <w:pPr>
        <w:spacing w:after="0" w:line="149" w:lineRule="exact"/>
        <w:rPr>
          <w:sz w:val="20"/>
          <w:szCs w:val="20"/>
          <w:color w:val="auto"/>
        </w:rPr>
      </w:pPr>
    </w:p>
    <w:p>
      <w:pPr>
        <w:ind w:left="284" w:hanging="284"/>
        <w:spacing w:after="0"/>
        <w:tabs>
          <w:tab w:leader="none" w:pos="284"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earlier than January 19, 2024; and</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17"/>
        </w:numPr>
        <w:rPr>
          <w:rFonts w:ascii="Arial" w:cs="Arial" w:eastAsia="Arial" w:hAnsi="Arial"/>
          <w:sz w:val="16"/>
          <w:szCs w:val="16"/>
          <w:color w:val="0063A6"/>
        </w:rPr>
      </w:pPr>
      <w:r>
        <w:rPr>
          <w:rFonts w:ascii="Arial" w:cs="Arial" w:eastAsia="Arial" w:hAnsi="Arial"/>
          <w:sz w:val="16"/>
          <w:szCs w:val="16"/>
          <w:color w:val="auto"/>
        </w:rPr>
        <w:t>not later than February 18, 2024.</w:t>
      </w:r>
    </w:p>
    <w:p>
      <w:pPr>
        <w:spacing w:after="0" w:line="167"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color w:val="auto"/>
        </w:rPr>
        <w:t>In the event that we hold the 2024 annual meeting of stockholders more than 30 days before or more than 60 days after the one-year anniversary of the Annual Meeting, a notice of a stockholder proposal that is not intended to be included in our proxy statement must</w:t>
      </w:r>
    </w:p>
    <w:p>
      <w:pPr>
        <w:spacing w:after="0" w:line="1" w:lineRule="exact"/>
        <w:rPr>
          <w:sz w:val="20"/>
          <w:szCs w:val="20"/>
          <w:color w:val="auto"/>
        </w:rPr>
      </w:pPr>
    </w:p>
    <w:p>
      <w:pPr>
        <w:ind w:left="4" w:right="160"/>
        <w:spacing w:after="0" w:line="212" w:lineRule="auto"/>
        <w:rPr>
          <w:sz w:val="20"/>
          <w:szCs w:val="20"/>
          <w:color w:val="auto"/>
        </w:rPr>
      </w:pPr>
      <w:r>
        <w:rPr>
          <w:rFonts w:ascii="Arial" w:cs="Arial" w:eastAsia="Arial" w:hAnsi="Arial"/>
          <w:sz w:val="16"/>
          <w:szCs w:val="16"/>
          <w:color w:val="auto"/>
        </w:rPr>
        <w:t>be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2024 annual meeting of stockholders and no later than the close of business on the later of the following two dates:</w:t>
      </w:r>
    </w:p>
    <w:p>
      <w:pPr>
        <w:spacing w:after="0" w:line="156" w:lineRule="exact"/>
        <w:rPr>
          <w:sz w:val="20"/>
          <w:szCs w:val="20"/>
          <w:color w:val="auto"/>
        </w:rPr>
      </w:pPr>
    </w:p>
    <w:p>
      <w:pPr>
        <w:ind w:left="284" w:hanging="284"/>
        <w:spacing w:after="0"/>
        <w:tabs>
          <w:tab w:leader="none" w:pos="284"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90th day prior to the 2024 annual meeting of stockholders; or</w:t>
      </w:r>
    </w:p>
    <w:p>
      <w:pPr>
        <w:spacing w:after="0" w:line="167" w:lineRule="exact"/>
        <w:rPr>
          <w:rFonts w:ascii="Arial" w:cs="Arial" w:eastAsia="Arial" w:hAnsi="Arial"/>
          <w:sz w:val="16"/>
          <w:szCs w:val="16"/>
          <w:color w:val="0063A6"/>
        </w:rPr>
      </w:pPr>
    </w:p>
    <w:p>
      <w:pPr>
        <w:ind w:left="284" w:right="460" w:hanging="284"/>
        <w:spacing w:after="0" w:line="260" w:lineRule="auto"/>
        <w:tabs>
          <w:tab w:leader="none" w:pos="284"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2024 annual meeting of stockholders is first made.</w:t>
      </w:r>
    </w:p>
    <w:p>
      <w:pPr>
        <w:spacing w:after="0" w:line="141" w:lineRule="exact"/>
        <w:rPr>
          <w:sz w:val="20"/>
          <w:szCs w:val="20"/>
          <w:color w:val="auto"/>
        </w:rPr>
      </w:pPr>
    </w:p>
    <w:p>
      <w:pPr>
        <w:ind w:left="4" w:right="280"/>
        <w:spacing w:after="0" w:line="253"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87"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to the Board of Directors</w:t>
      </w:r>
      <w:r>
        <w:rPr>
          <w:rFonts w:ascii="Arial" w:cs="Arial" w:eastAsia="Arial" w:hAnsi="Arial"/>
          <w:sz w:val="16"/>
          <w:szCs w:val="16"/>
          <w:color w:val="auto"/>
        </w:rPr>
        <w:t>.”</w:t>
      </w:r>
    </w:p>
    <w:p>
      <w:pPr>
        <w:spacing w:after="0" w:line="151" w:lineRule="exact"/>
        <w:rPr>
          <w:sz w:val="20"/>
          <w:szCs w:val="20"/>
          <w:color w:val="auto"/>
        </w:rPr>
      </w:pPr>
    </w:p>
    <w:p>
      <w:pPr>
        <w:ind w:left="4" w:right="300"/>
        <w:spacing w:after="0" w:line="250" w:lineRule="auto"/>
        <w:rPr>
          <w:sz w:val="20"/>
          <w:szCs w:val="20"/>
          <w:color w:val="auto"/>
        </w:rPr>
      </w:pPr>
      <w:r>
        <w:rPr>
          <w:rFonts w:ascii="Arial" w:cs="Arial" w:eastAsia="Arial" w:hAnsi="Arial"/>
          <w:sz w:val="16"/>
          <w:szCs w:val="16"/>
          <w:color w:val="auto"/>
        </w:rPr>
        <w:t>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49"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In addition, a stockholder who desires to nominate director candidates for election at the 2024 Annual Meeting, which is expected to be held in or about May 2024, must comply with the requirements of newly enacted Rule 14a-19 by notifying our Corporate Secretary with regard to the intent to solicit proxies in support of director nominees (other than our nominees) as required by Rule 14a-19 no later than March 19, 2024. Please note that the notice requirement under Rule 14a-19 is in addition to the applicable notice requirements under the advance notice provisions of our amended and restated bylaws as described above.</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Availability of Bylaws</w:t>
      </w:r>
    </w:p>
    <w:p>
      <w:pPr>
        <w:spacing w:after="0" w:line="187"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1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9" w:name="page10"/>
    <w:bookmarkEnd w:id="9"/>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BOARD OF DIRECTORS AND CORPORATE GOVERNANCE</w:t>
      </w:r>
    </w:p>
    <w:p>
      <w:pPr>
        <w:spacing w:after="0" w:line="157"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Our business affairs are managed under the direction of our board of directors. As of March 23, 2023, our board of directors consisted of eight directors, seven of whom qualified as “independent” under the listing standards of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w:t>
      </w:r>
    </w:p>
    <w:p>
      <w:pPr>
        <w:spacing w:after="0" w:line="121" w:lineRule="exact"/>
        <w:rPr>
          <w:sz w:val="20"/>
          <w:szCs w:val="20"/>
          <w:color w:val="auto"/>
        </w:rPr>
      </w:pPr>
    </w:p>
    <w:p>
      <w:pPr>
        <w:ind w:left="4" w:right="240"/>
        <w:spacing w:after="0" w:line="285"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23"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As part of this commitment, our nominating and corporate governance committee considers the diversity of director nominees with respect to gender, race, ethnicity, sexual orientation, gender identity, viewpoints and perspectives, experience, and backgrounds. The following charts provide summary information about our director nominees with respect to diversity, based on self-identification, independence, and tenure. For additional information regarding our criteria for evaluating director nominees, see the section titled “</w:t>
      </w:r>
      <w:r>
        <w:rPr>
          <w:rFonts w:ascii="Arial" w:cs="Arial" w:eastAsia="Arial" w:hAnsi="Arial"/>
          <w:sz w:val="16"/>
          <w:szCs w:val="16"/>
          <w:i w:val="1"/>
          <w:iCs w:val="1"/>
          <w:color w:val="auto"/>
        </w:rPr>
        <w:t>Considerations in Evaluating Director Nominees</w:t>
      </w:r>
      <w:r>
        <w:rPr>
          <w:rFonts w:ascii="Arial" w:cs="Arial" w:eastAsia="Arial" w:hAnsi="Arial"/>
          <w:sz w:val="16"/>
          <w:szCs w:val="16"/>
          <w:color w:val="auto"/>
        </w:rPr>
        <w:t>.”</w:t>
      </w:r>
    </w:p>
    <w:tbl>
      <w:tblPr>
        <w:tblLayout w:type="fixed"/>
        <w:tblInd w:w="4" w:type="dxa"/>
        <w:tblCellMar>
          <w:top w:w="0" w:type="dxa"/>
          <w:left w:w="0" w:type="dxa"/>
          <w:bottom w:w="0" w:type="dxa"/>
          <w:right w:w="0" w:type="dxa"/>
        </w:tblCellMar>
      </w:tblPr>
      <w:tr>
        <w:trPr>
          <w:trHeight w:val="25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0063A6"/>
          </w:tcPr>
          <w:p>
            <w:pPr>
              <w:spacing w:after="0"/>
              <w:rPr>
                <w:sz w:val="21"/>
                <w:szCs w:val="21"/>
                <w:color w:val="auto"/>
              </w:rPr>
            </w:pPr>
          </w:p>
        </w:tc>
        <w:tc>
          <w:tcPr>
            <w:tcW w:w="3440" w:type="dxa"/>
            <w:vAlign w:val="bottom"/>
            <w:gridSpan w:val="6"/>
            <w:shd w:val="clear" w:color="auto" w:fill="0063A6"/>
          </w:tcPr>
          <w:p>
            <w:pPr>
              <w:ind w:left="200"/>
              <w:spacing w:after="0" w:line="243" w:lineRule="exact"/>
              <w:rPr>
                <w:sz w:val="20"/>
                <w:szCs w:val="20"/>
                <w:color w:val="auto"/>
              </w:rPr>
            </w:pPr>
            <w:r>
              <w:rPr>
                <w:rFonts w:ascii="Arial" w:cs="Arial" w:eastAsia="Arial" w:hAnsi="Arial"/>
                <w:sz w:val="14"/>
                <w:szCs w:val="14"/>
                <w:b w:val="1"/>
                <w:bCs w:val="1"/>
                <w:color w:val="FFFFFF"/>
              </w:rPr>
              <w:t>Board Diversity Matrix (As of March 23, 2023)</w:t>
            </w:r>
            <w:r>
              <w:rPr>
                <w:rFonts w:ascii="Arial" w:cs="Arial" w:eastAsia="Arial" w:hAnsi="Arial"/>
                <w:sz w:val="23"/>
                <w:szCs w:val="23"/>
                <w:b w:val="1"/>
                <w:bCs w:val="1"/>
                <w:color w:val="FFFFFF"/>
                <w:vertAlign w:val="superscript"/>
              </w:rPr>
              <w:t>(1)</w:t>
            </w:r>
          </w:p>
        </w:tc>
        <w:tc>
          <w:tcPr>
            <w:tcW w:w="20" w:type="dxa"/>
            <w:vAlign w:val="bottom"/>
            <w:shd w:val="clear" w:color="auto" w:fill="0063A6"/>
          </w:tcPr>
          <w:p>
            <w:pPr>
              <w:spacing w:after="0"/>
              <w:rPr>
                <w:sz w:val="21"/>
                <w:szCs w:val="21"/>
                <w:color w:val="auto"/>
              </w:rPr>
            </w:pPr>
          </w:p>
        </w:tc>
        <w:tc>
          <w:tcPr>
            <w:tcW w:w="280" w:type="dxa"/>
            <w:vAlign w:val="bottom"/>
            <w:shd w:val="clear" w:color="auto" w:fill="0063A6"/>
          </w:tcPr>
          <w:p>
            <w:pPr>
              <w:spacing w:after="0"/>
              <w:rPr>
                <w:sz w:val="21"/>
                <w:szCs w:val="21"/>
                <w:color w:val="auto"/>
              </w:rPr>
            </w:pPr>
          </w:p>
        </w:tc>
        <w:tc>
          <w:tcPr>
            <w:tcW w:w="1300" w:type="dxa"/>
            <w:vAlign w:val="bottom"/>
            <w:shd w:val="clear" w:color="auto" w:fill="0063A6"/>
          </w:tcPr>
          <w:p>
            <w:pPr>
              <w:spacing w:after="0"/>
              <w:rPr>
                <w:sz w:val="21"/>
                <w:szCs w:val="21"/>
                <w:color w:val="auto"/>
              </w:rPr>
            </w:pPr>
          </w:p>
        </w:tc>
        <w:tc>
          <w:tcPr>
            <w:tcW w:w="140" w:type="dxa"/>
            <w:vAlign w:val="bottom"/>
            <w:shd w:val="clear" w:color="auto" w:fill="0063A6"/>
          </w:tcPr>
          <w:p>
            <w:pPr>
              <w:spacing w:after="0"/>
              <w:rPr>
                <w:sz w:val="21"/>
                <w:szCs w:val="21"/>
                <w:color w:val="auto"/>
              </w:rPr>
            </w:pPr>
          </w:p>
        </w:tc>
        <w:tc>
          <w:tcPr>
            <w:tcW w:w="1440" w:type="dxa"/>
            <w:vAlign w:val="bottom"/>
            <w:shd w:val="clear" w:color="auto" w:fill="0063A6"/>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66"/>
        </w:trPr>
        <w:tc>
          <w:tcPr>
            <w:tcW w:w="40" w:type="dxa"/>
            <w:vAlign w:val="bottom"/>
            <w:shd w:val="clear" w:color="auto" w:fill="0063A6"/>
          </w:tcPr>
          <w:p>
            <w:pPr>
              <w:spacing w:after="0"/>
              <w:rPr>
                <w:sz w:val="14"/>
                <w:szCs w:val="14"/>
                <w:color w:val="auto"/>
              </w:rPr>
            </w:pPr>
          </w:p>
        </w:tc>
        <w:tc>
          <w:tcPr>
            <w:tcW w:w="2900" w:type="dxa"/>
            <w:vAlign w:val="bottom"/>
            <w:shd w:val="clear" w:color="auto" w:fill="0063A6"/>
          </w:tcPr>
          <w:p>
            <w:pPr>
              <w:spacing w:after="0"/>
              <w:rPr>
                <w:sz w:val="14"/>
                <w:szCs w:val="14"/>
                <w:color w:val="auto"/>
              </w:rPr>
            </w:pPr>
          </w:p>
        </w:tc>
        <w:tc>
          <w:tcPr>
            <w:tcW w:w="420" w:type="dxa"/>
            <w:vAlign w:val="bottom"/>
            <w:shd w:val="clear" w:color="auto" w:fill="0063A6"/>
          </w:tcPr>
          <w:p>
            <w:pPr>
              <w:spacing w:after="0"/>
              <w:rPr>
                <w:sz w:val="14"/>
                <w:szCs w:val="14"/>
                <w:color w:val="auto"/>
              </w:rPr>
            </w:pPr>
          </w:p>
        </w:tc>
        <w:tc>
          <w:tcPr>
            <w:tcW w:w="300" w:type="dxa"/>
            <w:vAlign w:val="bottom"/>
            <w:shd w:val="clear" w:color="auto" w:fill="0063A6"/>
          </w:tcPr>
          <w:p>
            <w:pPr>
              <w:spacing w:after="0"/>
              <w:rPr>
                <w:sz w:val="14"/>
                <w:szCs w:val="14"/>
                <w:color w:val="auto"/>
              </w:rPr>
            </w:pPr>
          </w:p>
        </w:tc>
        <w:tc>
          <w:tcPr>
            <w:tcW w:w="980" w:type="dxa"/>
            <w:vAlign w:val="bottom"/>
            <w:shd w:val="clear" w:color="auto" w:fill="0063A6"/>
          </w:tcPr>
          <w:p>
            <w:pPr>
              <w:spacing w:after="0"/>
              <w:rPr>
                <w:sz w:val="14"/>
                <w:szCs w:val="14"/>
                <w:color w:val="auto"/>
              </w:rPr>
            </w:pPr>
          </w:p>
        </w:tc>
        <w:tc>
          <w:tcPr>
            <w:tcW w:w="260" w:type="dxa"/>
            <w:vAlign w:val="bottom"/>
            <w:shd w:val="clear" w:color="auto" w:fill="0063A6"/>
          </w:tcPr>
          <w:p>
            <w:pPr>
              <w:spacing w:after="0"/>
              <w:rPr>
                <w:sz w:val="14"/>
                <w:szCs w:val="14"/>
                <w:color w:val="auto"/>
              </w:rPr>
            </w:pPr>
          </w:p>
        </w:tc>
        <w:tc>
          <w:tcPr>
            <w:tcW w:w="340" w:type="dxa"/>
            <w:vAlign w:val="bottom"/>
            <w:shd w:val="clear" w:color="auto" w:fill="0063A6"/>
          </w:tcPr>
          <w:p>
            <w:pPr>
              <w:spacing w:after="0"/>
              <w:rPr>
                <w:sz w:val="14"/>
                <w:szCs w:val="14"/>
                <w:color w:val="auto"/>
              </w:rPr>
            </w:pPr>
          </w:p>
        </w:tc>
        <w:tc>
          <w:tcPr>
            <w:tcW w:w="1140" w:type="dxa"/>
            <w:vAlign w:val="bottom"/>
            <w:shd w:val="clear" w:color="auto" w:fill="0063A6"/>
          </w:tcPr>
          <w:p>
            <w:pPr>
              <w:spacing w:after="0"/>
              <w:rPr>
                <w:sz w:val="14"/>
                <w:szCs w:val="14"/>
                <w:color w:val="auto"/>
              </w:rPr>
            </w:pPr>
          </w:p>
        </w:tc>
        <w:tc>
          <w:tcPr>
            <w:tcW w:w="20" w:type="dxa"/>
            <w:vAlign w:val="bottom"/>
            <w:shd w:val="clear" w:color="auto" w:fill="0063A6"/>
          </w:tcPr>
          <w:p>
            <w:pPr>
              <w:spacing w:after="0"/>
              <w:rPr>
                <w:sz w:val="14"/>
                <w:szCs w:val="14"/>
                <w:color w:val="auto"/>
              </w:rPr>
            </w:pPr>
          </w:p>
        </w:tc>
        <w:tc>
          <w:tcPr>
            <w:tcW w:w="280" w:type="dxa"/>
            <w:vAlign w:val="bottom"/>
            <w:shd w:val="clear" w:color="auto" w:fill="0063A6"/>
          </w:tcPr>
          <w:p>
            <w:pPr>
              <w:spacing w:after="0"/>
              <w:rPr>
                <w:sz w:val="14"/>
                <w:szCs w:val="14"/>
                <w:color w:val="auto"/>
              </w:rPr>
            </w:pPr>
          </w:p>
        </w:tc>
        <w:tc>
          <w:tcPr>
            <w:tcW w:w="130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144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Total Number of Directors</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22"/>
                <w:szCs w:val="22"/>
                <w:color w:val="auto"/>
              </w:rPr>
            </w:pPr>
          </w:p>
        </w:tc>
        <w:tc>
          <w:tcPr>
            <w:tcW w:w="26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20" w:type="dxa"/>
            <w:vAlign w:val="bottom"/>
            <w:shd w:val="clear" w:color="auto" w:fill="F2F2F2"/>
          </w:tcPr>
          <w:p>
            <w:pPr>
              <w:spacing w:after="0"/>
              <w:rPr>
                <w:sz w:val="22"/>
                <w:szCs w:val="22"/>
                <w:color w:val="auto"/>
              </w:rPr>
            </w:pPr>
          </w:p>
        </w:tc>
        <w:tc>
          <w:tcPr>
            <w:tcW w:w="280" w:type="dxa"/>
            <w:vAlign w:val="bottom"/>
            <w:shd w:val="clear" w:color="auto" w:fill="F2F2F2"/>
          </w:tcPr>
          <w:p>
            <w:pPr>
              <w:jc w:val="right"/>
              <w:ind w:right="158"/>
              <w:spacing w:after="0"/>
              <w:rPr>
                <w:sz w:val="20"/>
                <w:szCs w:val="20"/>
                <w:color w:val="auto"/>
              </w:rPr>
            </w:pPr>
            <w:r>
              <w:rPr>
                <w:rFonts w:ascii="Arial" w:cs="Arial" w:eastAsia="Arial" w:hAnsi="Arial"/>
                <w:sz w:val="14"/>
                <w:szCs w:val="14"/>
                <w:b w:val="1"/>
                <w:bCs w:val="1"/>
                <w:color w:val="auto"/>
              </w:rPr>
              <w:t>8</w:t>
            </w:r>
          </w:p>
        </w:tc>
        <w:tc>
          <w:tcPr>
            <w:tcW w:w="1300" w:type="dxa"/>
            <w:vAlign w:val="bottom"/>
            <w:shd w:val="clear" w:color="auto" w:fill="F2F2F2"/>
          </w:tcPr>
          <w:p>
            <w:pPr>
              <w:spacing w:after="0"/>
              <w:rPr>
                <w:sz w:val="22"/>
                <w:szCs w:val="22"/>
                <w:color w:val="auto"/>
              </w:rPr>
            </w:pPr>
          </w:p>
        </w:tc>
        <w:tc>
          <w:tcPr>
            <w:tcW w:w="140" w:type="dxa"/>
            <w:vAlign w:val="bottom"/>
            <w:shd w:val="clear" w:color="auto" w:fill="F2F2F2"/>
          </w:tcPr>
          <w:p>
            <w:pPr>
              <w:spacing w:after="0"/>
              <w:rPr>
                <w:sz w:val="22"/>
                <w:szCs w:val="22"/>
                <w:color w:val="auto"/>
              </w:rPr>
            </w:pP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6"/>
        </w:trPr>
        <w:tc>
          <w:tcPr>
            <w:tcW w:w="40" w:type="dxa"/>
            <w:vAlign w:val="bottom"/>
            <w:shd w:val="clear" w:color="auto" w:fill="F2F2F2"/>
          </w:tcPr>
          <w:p>
            <w:pPr>
              <w:spacing w:after="0"/>
              <w:rPr>
                <w:sz w:val="5"/>
                <w:szCs w:val="5"/>
                <w:color w:val="auto"/>
              </w:rPr>
            </w:pPr>
          </w:p>
        </w:tc>
        <w:tc>
          <w:tcPr>
            <w:tcW w:w="2900" w:type="dxa"/>
            <w:vAlign w:val="bottom"/>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26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20" w:type="dxa"/>
            <w:vAlign w:val="bottom"/>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130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4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0063A6"/>
          </w:tcPr>
          <w:p>
            <w:pPr>
              <w:spacing w:after="0"/>
              <w:rPr>
                <w:sz w:val="21"/>
                <w:szCs w:val="21"/>
                <w:color w:val="auto"/>
              </w:rPr>
            </w:pPr>
          </w:p>
        </w:tc>
        <w:tc>
          <w:tcPr>
            <w:tcW w:w="420" w:type="dxa"/>
            <w:vAlign w:val="bottom"/>
            <w:shd w:val="clear" w:color="auto" w:fill="0063A6"/>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80" w:type="dxa"/>
            <w:vAlign w:val="bottom"/>
            <w:vMerge w:val="restart"/>
            <w:shd w:val="clear" w:color="auto" w:fill="0063A6"/>
          </w:tcPr>
          <w:p>
            <w:pPr>
              <w:ind w:left="240"/>
              <w:spacing w:after="0"/>
              <w:rPr>
                <w:sz w:val="20"/>
                <w:szCs w:val="20"/>
                <w:color w:val="auto"/>
              </w:rPr>
            </w:pPr>
            <w:r>
              <w:rPr>
                <w:rFonts w:ascii="Arial" w:cs="Arial" w:eastAsia="Arial" w:hAnsi="Arial"/>
                <w:sz w:val="14"/>
                <w:szCs w:val="14"/>
                <w:b w:val="1"/>
                <w:bCs w:val="1"/>
                <w:color w:val="FFFFFF"/>
              </w:rPr>
              <w:t>Female</w:t>
            </w:r>
          </w:p>
        </w:tc>
        <w:tc>
          <w:tcPr>
            <w:tcW w:w="260" w:type="dxa"/>
            <w:vAlign w:val="bottom"/>
            <w:shd w:val="clear" w:color="auto" w:fill="0063A6"/>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140" w:type="dxa"/>
            <w:vAlign w:val="bottom"/>
            <w:vMerge w:val="restart"/>
            <w:shd w:val="clear" w:color="auto" w:fill="0063A6"/>
          </w:tcPr>
          <w:p>
            <w:pPr>
              <w:ind w:left="300"/>
              <w:spacing w:after="0"/>
              <w:rPr>
                <w:sz w:val="20"/>
                <w:szCs w:val="20"/>
                <w:color w:val="auto"/>
              </w:rPr>
            </w:pPr>
            <w:r>
              <w:rPr>
                <w:rFonts w:ascii="Arial" w:cs="Arial" w:eastAsia="Arial" w:hAnsi="Arial"/>
                <w:sz w:val="14"/>
                <w:szCs w:val="14"/>
                <w:b w:val="1"/>
                <w:bCs w:val="1"/>
                <w:color w:val="FFFFFF"/>
              </w:rPr>
              <w:t>Male</w:t>
            </w:r>
          </w:p>
        </w:tc>
        <w:tc>
          <w:tcPr>
            <w:tcW w:w="20" w:type="dxa"/>
            <w:vAlign w:val="bottom"/>
            <w:shd w:val="clear" w:color="auto" w:fill="0063A6"/>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0063A6"/>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0063A6"/>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0063A6"/>
          </w:tcPr>
          <w:p>
            <w:pPr>
              <w:jc w:val="right"/>
              <w:ind w:right="55"/>
              <w:spacing w:after="0"/>
              <w:rPr>
                <w:sz w:val="20"/>
                <w:szCs w:val="20"/>
                <w:color w:val="auto"/>
              </w:rPr>
            </w:pPr>
            <w:r>
              <w:rPr>
                <w:rFonts w:ascii="Arial" w:cs="Arial" w:eastAsia="Arial" w:hAnsi="Arial"/>
                <w:sz w:val="14"/>
                <w:szCs w:val="14"/>
                <w:b w:val="1"/>
                <w:bCs w:val="1"/>
                <w:color w:val="FFFFFF"/>
              </w:rPr>
              <w:t xml:space="preserve">Did Not Disclose  </w:t>
            </w:r>
            <w:r>
              <w:rPr>
                <w:rFonts w:ascii="Arial" w:cs="Arial" w:eastAsia="Arial" w:hAnsi="Arial"/>
                <w:sz w:val="7"/>
                <w:szCs w:val="7"/>
                <w:color w:val="000000"/>
                <w:vertAlign w:val="subscript"/>
              </w:rPr>
              <w:t>​</w:t>
            </w:r>
          </w:p>
        </w:tc>
        <w:tc>
          <w:tcPr>
            <w:tcW w:w="0" w:type="dxa"/>
            <w:vAlign w:val="bottom"/>
          </w:tcPr>
          <w:p>
            <w:pPr>
              <w:spacing w:after="0"/>
              <w:rPr>
                <w:sz w:val="1"/>
                <w:szCs w:val="1"/>
                <w:color w:val="auto"/>
              </w:rPr>
            </w:pPr>
          </w:p>
        </w:tc>
      </w:tr>
      <w:tr>
        <w:trPr>
          <w:trHeight w:val="190"/>
        </w:trPr>
        <w:tc>
          <w:tcPr>
            <w:tcW w:w="40" w:type="dxa"/>
            <w:vAlign w:val="bottom"/>
            <w:shd w:val="clear" w:color="auto" w:fill="0063A6"/>
          </w:tcPr>
          <w:p>
            <w:pPr>
              <w:spacing w:after="0"/>
              <w:rPr>
                <w:sz w:val="16"/>
                <w:szCs w:val="16"/>
                <w:color w:val="auto"/>
              </w:rPr>
            </w:pPr>
          </w:p>
        </w:tc>
        <w:tc>
          <w:tcPr>
            <w:tcW w:w="2900" w:type="dxa"/>
            <w:vAlign w:val="bottom"/>
            <w:shd w:val="clear" w:color="auto" w:fill="0063A6"/>
          </w:tcPr>
          <w:p>
            <w:pPr>
              <w:spacing w:after="0"/>
              <w:rPr>
                <w:sz w:val="16"/>
                <w:szCs w:val="16"/>
                <w:color w:val="auto"/>
              </w:rPr>
            </w:pPr>
          </w:p>
        </w:tc>
        <w:tc>
          <w:tcPr>
            <w:tcW w:w="420" w:type="dxa"/>
            <w:vAlign w:val="bottom"/>
            <w:shd w:val="clear" w:color="auto" w:fill="0063A6"/>
          </w:tcPr>
          <w:p>
            <w:pPr>
              <w:spacing w:after="0"/>
              <w:rPr>
                <w:sz w:val="16"/>
                <w:szCs w:val="16"/>
                <w:color w:val="auto"/>
              </w:rPr>
            </w:pPr>
          </w:p>
        </w:tc>
        <w:tc>
          <w:tcPr>
            <w:tcW w:w="300" w:type="dxa"/>
            <w:vAlign w:val="bottom"/>
            <w:shd w:val="clear" w:color="auto" w:fill="0063A6"/>
          </w:tcPr>
          <w:p>
            <w:pPr>
              <w:spacing w:after="0"/>
              <w:rPr>
                <w:sz w:val="16"/>
                <w:szCs w:val="16"/>
                <w:color w:val="auto"/>
              </w:rPr>
            </w:pPr>
          </w:p>
        </w:tc>
        <w:tc>
          <w:tcPr>
            <w:tcW w:w="980" w:type="dxa"/>
            <w:vAlign w:val="bottom"/>
            <w:vMerge w:val="continue"/>
            <w:shd w:val="clear" w:color="auto" w:fill="0063A6"/>
          </w:tcPr>
          <w:p>
            <w:pPr>
              <w:spacing w:after="0"/>
              <w:rPr>
                <w:sz w:val="16"/>
                <w:szCs w:val="16"/>
                <w:color w:val="auto"/>
              </w:rPr>
            </w:pPr>
          </w:p>
        </w:tc>
        <w:tc>
          <w:tcPr>
            <w:tcW w:w="260" w:type="dxa"/>
            <w:vAlign w:val="bottom"/>
            <w:shd w:val="clear" w:color="auto" w:fill="0063A6"/>
          </w:tcPr>
          <w:p>
            <w:pPr>
              <w:spacing w:after="0"/>
              <w:rPr>
                <w:sz w:val="16"/>
                <w:szCs w:val="16"/>
                <w:color w:val="auto"/>
              </w:rPr>
            </w:pPr>
          </w:p>
        </w:tc>
        <w:tc>
          <w:tcPr>
            <w:tcW w:w="340" w:type="dxa"/>
            <w:vAlign w:val="bottom"/>
            <w:shd w:val="clear" w:color="auto" w:fill="0063A6"/>
          </w:tcPr>
          <w:p>
            <w:pPr>
              <w:spacing w:after="0"/>
              <w:rPr>
                <w:sz w:val="16"/>
                <w:szCs w:val="16"/>
                <w:color w:val="auto"/>
              </w:rPr>
            </w:pPr>
          </w:p>
        </w:tc>
        <w:tc>
          <w:tcPr>
            <w:tcW w:w="1140" w:type="dxa"/>
            <w:vAlign w:val="bottom"/>
            <w:vMerge w:val="continue"/>
            <w:shd w:val="clear" w:color="auto" w:fill="0063A6"/>
          </w:tcPr>
          <w:p>
            <w:pPr>
              <w:spacing w:after="0"/>
              <w:rPr>
                <w:sz w:val="16"/>
                <w:szCs w:val="16"/>
                <w:color w:val="auto"/>
              </w:rPr>
            </w:pPr>
          </w:p>
        </w:tc>
        <w:tc>
          <w:tcPr>
            <w:tcW w:w="20" w:type="dxa"/>
            <w:vAlign w:val="bottom"/>
            <w:shd w:val="clear" w:color="auto" w:fill="0063A6"/>
          </w:tcPr>
          <w:p>
            <w:pPr>
              <w:spacing w:after="0"/>
              <w:rPr>
                <w:sz w:val="16"/>
                <w:szCs w:val="16"/>
                <w:color w:val="auto"/>
              </w:rPr>
            </w:pPr>
          </w:p>
        </w:tc>
        <w:tc>
          <w:tcPr>
            <w:tcW w:w="280" w:type="dxa"/>
            <w:vAlign w:val="bottom"/>
            <w:shd w:val="clear" w:color="auto" w:fill="0063A6"/>
          </w:tcPr>
          <w:p>
            <w:pPr>
              <w:spacing w:after="0"/>
              <w:rPr>
                <w:sz w:val="16"/>
                <w:szCs w:val="16"/>
                <w:color w:val="auto"/>
              </w:rPr>
            </w:pPr>
          </w:p>
        </w:tc>
        <w:tc>
          <w:tcPr>
            <w:tcW w:w="130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Non-Binary</w:t>
            </w:r>
          </w:p>
        </w:tc>
        <w:tc>
          <w:tcPr>
            <w:tcW w:w="140" w:type="dxa"/>
            <w:vAlign w:val="bottom"/>
            <w:shd w:val="clear" w:color="auto" w:fill="0063A6"/>
          </w:tcPr>
          <w:p>
            <w:pPr>
              <w:spacing w:after="0"/>
              <w:rPr>
                <w:sz w:val="16"/>
                <w:szCs w:val="16"/>
                <w:color w:val="auto"/>
              </w:rPr>
            </w:pPr>
          </w:p>
        </w:tc>
        <w:tc>
          <w:tcPr>
            <w:tcW w:w="1440" w:type="dxa"/>
            <w:vAlign w:val="bottom"/>
            <w:shd w:val="clear" w:color="auto" w:fill="0063A6"/>
          </w:tcPr>
          <w:p>
            <w:pPr>
              <w:jc w:val="right"/>
              <w:ind w:right="515"/>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311"/>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Gender Identity</w:t>
            </w:r>
          </w:p>
        </w:tc>
        <w:tc>
          <w:tcPr>
            <w:tcW w:w="420" w:type="dxa"/>
            <w:vAlign w:val="bottom"/>
            <w:shd w:val="clear" w:color="auto" w:fill="0063A6"/>
          </w:tcPr>
          <w:p>
            <w:pPr>
              <w:spacing w:after="0"/>
              <w:rPr>
                <w:sz w:val="24"/>
                <w:szCs w:val="24"/>
                <w:color w:val="auto"/>
              </w:rPr>
            </w:pPr>
          </w:p>
        </w:tc>
        <w:tc>
          <w:tcPr>
            <w:tcW w:w="300" w:type="dxa"/>
            <w:vAlign w:val="bottom"/>
            <w:shd w:val="clear" w:color="auto" w:fill="0063A6"/>
          </w:tcPr>
          <w:p>
            <w:pPr>
              <w:spacing w:after="0"/>
              <w:rPr>
                <w:sz w:val="24"/>
                <w:szCs w:val="24"/>
                <w:color w:val="auto"/>
              </w:rPr>
            </w:pPr>
          </w:p>
        </w:tc>
        <w:tc>
          <w:tcPr>
            <w:tcW w:w="980" w:type="dxa"/>
            <w:vAlign w:val="bottom"/>
            <w:shd w:val="clear" w:color="auto" w:fill="0063A6"/>
          </w:tcPr>
          <w:p>
            <w:pPr>
              <w:spacing w:after="0"/>
              <w:rPr>
                <w:sz w:val="24"/>
                <w:szCs w:val="24"/>
                <w:color w:val="auto"/>
              </w:rPr>
            </w:pPr>
          </w:p>
        </w:tc>
        <w:tc>
          <w:tcPr>
            <w:tcW w:w="260" w:type="dxa"/>
            <w:vAlign w:val="bottom"/>
            <w:shd w:val="clear" w:color="auto" w:fill="0063A6"/>
          </w:tcPr>
          <w:p>
            <w:pPr>
              <w:spacing w:after="0"/>
              <w:rPr>
                <w:sz w:val="24"/>
                <w:szCs w:val="24"/>
                <w:color w:val="auto"/>
              </w:rPr>
            </w:pPr>
          </w:p>
        </w:tc>
        <w:tc>
          <w:tcPr>
            <w:tcW w:w="340" w:type="dxa"/>
            <w:vAlign w:val="bottom"/>
            <w:shd w:val="clear" w:color="auto" w:fill="0063A6"/>
          </w:tcPr>
          <w:p>
            <w:pPr>
              <w:spacing w:after="0"/>
              <w:rPr>
                <w:sz w:val="24"/>
                <w:szCs w:val="24"/>
                <w:color w:val="auto"/>
              </w:rPr>
            </w:pPr>
          </w:p>
        </w:tc>
        <w:tc>
          <w:tcPr>
            <w:tcW w:w="1140" w:type="dxa"/>
            <w:vAlign w:val="bottom"/>
            <w:shd w:val="clear" w:color="auto" w:fill="0063A6"/>
          </w:tcPr>
          <w:p>
            <w:pPr>
              <w:spacing w:after="0"/>
              <w:rPr>
                <w:sz w:val="24"/>
                <w:szCs w:val="24"/>
                <w:color w:val="auto"/>
              </w:rPr>
            </w:pPr>
          </w:p>
        </w:tc>
        <w:tc>
          <w:tcPr>
            <w:tcW w:w="20" w:type="dxa"/>
            <w:vAlign w:val="bottom"/>
            <w:shd w:val="clear" w:color="auto" w:fill="0063A6"/>
          </w:tcPr>
          <w:p>
            <w:pPr>
              <w:spacing w:after="0"/>
              <w:rPr>
                <w:sz w:val="24"/>
                <w:szCs w:val="24"/>
                <w:color w:val="auto"/>
              </w:rPr>
            </w:pPr>
          </w:p>
        </w:tc>
        <w:tc>
          <w:tcPr>
            <w:tcW w:w="280" w:type="dxa"/>
            <w:vAlign w:val="bottom"/>
            <w:shd w:val="clear" w:color="auto" w:fill="0063A6"/>
          </w:tcPr>
          <w:p>
            <w:pPr>
              <w:spacing w:after="0"/>
              <w:rPr>
                <w:sz w:val="24"/>
                <w:szCs w:val="24"/>
                <w:color w:val="auto"/>
              </w:rPr>
            </w:pPr>
          </w:p>
        </w:tc>
        <w:tc>
          <w:tcPr>
            <w:tcW w:w="130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1440" w:type="dxa"/>
            <w:vAlign w:val="bottom"/>
            <w:shd w:val="clear" w:color="auto" w:fill="0063A6"/>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6"/>
        </w:trPr>
        <w:tc>
          <w:tcPr>
            <w:tcW w:w="40" w:type="dxa"/>
            <w:vAlign w:val="bottom"/>
            <w:shd w:val="clear" w:color="auto" w:fill="0063A6"/>
          </w:tcPr>
          <w:p>
            <w:pPr>
              <w:spacing w:after="0"/>
              <w:rPr>
                <w:sz w:val="5"/>
                <w:szCs w:val="5"/>
                <w:color w:val="auto"/>
              </w:rPr>
            </w:pPr>
          </w:p>
        </w:tc>
        <w:tc>
          <w:tcPr>
            <w:tcW w:w="2900" w:type="dxa"/>
            <w:vAlign w:val="bottom"/>
            <w:shd w:val="clear" w:color="auto" w:fill="0063A6"/>
          </w:tcPr>
          <w:p>
            <w:pPr>
              <w:spacing w:after="0"/>
              <w:rPr>
                <w:sz w:val="5"/>
                <w:szCs w:val="5"/>
                <w:color w:val="auto"/>
              </w:rPr>
            </w:pPr>
          </w:p>
        </w:tc>
        <w:tc>
          <w:tcPr>
            <w:tcW w:w="420" w:type="dxa"/>
            <w:vAlign w:val="bottom"/>
            <w:shd w:val="clear" w:color="auto" w:fill="0063A6"/>
          </w:tcPr>
          <w:p>
            <w:pPr>
              <w:spacing w:after="0"/>
              <w:rPr>
                <w:sz w:val="5"/>
                <w:szCs w:val="5"/>
                <w:color w:val="auto"/>
              </w:rPr>
            </w:pPr>
          </w:p>
        </w:tc>
        <w:tc>
          <w:tcPr>
            <w:tcW w:w="300" w:type="dxa"/>
            <w:vAlign w:val="bottom"/>
            <w:shd w:val="clear" w:color="auto" w:fill="0063A6"/>
          </w:tcPr>
          <w:p>
            <w:pPr>
              <w:spacing w:after="0"/>
              <w:rPr>
                <w:sz w:val="5"/>
                <w:szCs w:val="5"/>
                <w:color w:val="auto"/>
              </w:rPr>
            </w:pPr>
          </w:p>
        </w:tc>
        <w:tc>
          <w:tcPr>
            <w:tcW w:w="980" w:type="dxa"/>
            <w:vAlign w:val="bottom"/>
            <w:shd w:val="clear" w:color="auto" w:fill="0063A6"/>
          </w:tcPr>
          <w:p>
            <w:pPr>
              <w:spacing w:after="0"/>
              <w:rPr>
                <w:sz w:val="5"/>
                <w:szCs w:val="5"/>
                <w:color w:val="auto"/>
              </w:rPr>
            </w:pPr>
          </w:p>
        </w:tc>
        <w:tc>
          <w:tcPr>
            <w:tcW w:w="260" w:type="dxa"/>
            <w:vAlign w:val="bottom"/>
            <w:shd w:val="clear" w:color="auto" w:fill="0063A6"/>
          </w:tcPr>
          <w:p>
            <w:pPr>
              <w:spacing w:after="0"/>
              <w:rPr>
                <w:sz w:val="5"/>
                <w:szCs w:val="5"/>
                <w:color w:val="auto"/>
              </w:rPr>
            </w:pPr>
          </w:p>
        </w:tc>
        <w:tc>
          <w:tcPr>
            <w:tcW w:w="340" w:type="dxa"/>
            <w:vAlign w:val="bottom"/>
            <w:shd w:val="clear" w:color="auto" w:fill="0063A6"/>
          </w:tcPr>
          <w:p>
            <w:pPr>
              <w:spacing w:after="0"/>
              <w:rPr>
                <w:sz w:val="5"/>
                <w:szCs w:val="5"/>
                <w:color w:val="auto"/>
              </w:rPr>
            </w:pPr>
          </w:p>
        </w:tc>
        <w:tc>
          <w:tcPr>
            <w:tcW w:w="1140" w:type="dxa"/>
            <w:vAlign w:val="bottom"/>
            <w:shd w:val="clear" w:color="auto" w:fill="0063A6"/>
          </w:tcPr>
          <w:p>
            <w:pPr>
              <w:spacing w:after="0"/>
              <w:rPr>
                <w:sz w:val="5"/>
                <w:szCs w:val="5"/>
                <w:color w:val="auto"/>
              </w:rPr>
            </w:pPr>
          </w:p>
        </w:tc>
        <w:tc>
          <w:tcPr>
            <w:tcW w:w="20" w:type="dxa"/>
            <w:vAlign w:val="bottom"/>
            <w:shd w:val="clear" w:color="auto" w:fill="0063A6"/>
          </w:tcPr>
          <w:p>
            <w:pPr>
              <w:spacing w:after="0"/>
              <w:rPr>
                <w:sz w:val="5"/>
                <w:szCs w:val="5"/>
                <w:color w:val="auto"/>
              </w:rPr>
            </w:pPr>
          </w:p>
        </w:tc>
        <w:tc>
          <w:tcPr>
            <w:tcW w:w="28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144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Directors</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460"/>
              <w:spacing w:after="0"/>
              <w:rPr>
                <w:sz w:val="20"/>
                <w:szCs w:val="20"/>
                <w:color w:val="auto"/>
              </w:rPr>
            </w:pPr>
            <w:r>
              <w:rPr>
                <w:rFonts w:ascii="Arial" w:cs="Arial" w:eastAsia="Arial" w:hAnsi="Arial"/>
                <w:sz w:val="14"/>
                <w:szCs w:val="14"/>
                <w:b w:val="1"/>
                <w:bCs w:val="1"/>
                <w:color w:val="auto"/>
              </w:rPr>
              <w:t>3</w:t>
            </w:r>
          </w:p>
        </w:tc>
        <w:tc>
          <w:tcPr>
            <w:tcW w:w="26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ind w:left="420"/>
              <w:spacing w:after="0"/>
              <w:rPr>
                <w:sz w:val="20"/>
                <w:szCs w:val="20"/>
                <w:color w:val="auto"/>
              </w:rPr>
            </w:pPr>
            <w:r>
              <w:rPr>
                <w:rFonts w:ascii="Arial" w:cs="Arial" w:eastAsia="Arial" w:hAnsi="Arial"/>
                <w:sz w:val="14"/>
                <w:szCs w:val="14"/>
                <w:b w:val="1"/>
                <w:bCs w:val="1"/>
                <w:color w:val="auto"/>
              </w:rPr>
              <w:t>5</w:t>
            </w:r>
          </w:p>
        </w:tc>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F2F2F2"/>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6"/>
        </w:trPr>
        <w:tc>
          <w:tcPr>
            <w:tcW w:w="40" w:type="dxa"/>
            <w:vAlign w:val="bottom"/>
            <w:shd w:val="clear" w:color="auto" w:fill="F2F2F2"/>
          </w:tcPr>
          <w:p>
            <w:pPr>
              <w:spacing w:after="0"/>
              <w:rPr>
                <w:sz w:val="5"/>
                <w:szCs w:val="5"/>
                <w:color w:val="auto"/>
              </w:rPr>
            </w:pPr>
          </w:p>
        </w:tc>
        <w:tc>
          <w:tcPr>
            <w:tcW w:w="4600" w:type="dxa"/>
            <w:vAlign w:val="bottom"/>
            <w:gridSpan w:val="4"/>
            <w:shd w:val="clear" w:color="auto" w:fill="F2F2F2"/>
          </w:tcPr>
          <w:p>
            <w:pPr>
              <w:spacing w:after="0"/>
              <w:rPr>
                <w:sz w:val="5"/>
                <w:szCs w:val="5"/>
                <w:color w:val="auto"/>
              </w:rPr>
            </w:pPr>
          </w:p>
        </w:tc>
        <w:tc>
          <w:tcPr>
            <w:tcW w:w="26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20" w:type="dxa"/>
            <w:vAlign w:val="bottom"/>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130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4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4600" w:type="dxa"/>
            <w:vAlign w:val="bottom"/>
            <w:gridSpan w:val="4"/>
            <w:shd w:val="clear" w:color="auto" w:fill="0063A6"/>
          </w:tcPr>
          <w:p>
            <w:pPr>
              <w:ind w:left="40"/>
              <w:spacing w:after="0"/>
              <w:rPr>
                <w:sz w:val="20"/>
                <w:szCs w:val="20"/>
                <w:color w:val="auto"/>
              </w:rPr>
            </w:pPr>
            <w:r>
              <w:rPr>
                <w:rFonts w:ascii="Arial" w:cs="Arial" w:eastAsia="Arial" w:hAnsi="Arial"/>
                <w:sz w:val="14"/>
                <w:szCs w:val="14"/>
                <w:b w:val="1"/>
                <w:bCs w:val="1"/>
                <w:color w:val="FFFFFF"/>
              </w:rPr>
              <w:t>Number of Directors who identify in any of the categories below</w:t>
            </w:r>
          </w:p>
        </w:tc>
        <w:tc>
          <w:tcPr>
            <w:tcW w:w="260" w:type="dxa"/>
            <w:vAlign w:val="bottom"/>
            <w:shd w:val="clear" w:color="auto" w:fill="0063A6"/>
          </w:tcPr>
          <w:p>
            <w:pPr>
              <w:spacing w:after="0"/>
              <w:rPr>
                <w:sz w:val="22"/>
                <w:szCs w:val="22"/>
                <w:color w:val="auto"/>
              </w:rPr>
            </w:pPr>
          </w:p>
        </w:tc>
        <w:tc>
          <w:tcPr>
            <w:tcW w:w="340" w:type="dxa"/>
            <w:vAlign w:val="bottom"/>
            <w:shd w:val="clear" w:color="auto" w:fill="0063A6"/>
          </w:tcPr>
          <w:p>
            <w:pPr>
              <w:spacing w:after="0"/>
              <w:rPr>
                <w:sz w:val="22"/>
                <w:szCs w:val="22"/>
                <w:color w:val="auto"/>
              </w:rPr>
            </w:pPr>
          </w:p>
        </w:tc>
        <w:tc>
          <w:tcPr>
            <w:tcW w:w="1140" w:type="dxa"/>
            <w:vAlign w:val="bottom"/>
            <w:shd w:val="clear" w:color="auto" w:fill="0063A6"/>
          </w:tcPr>
          <w:p>
            <w:pPr>
              <w:spacing w:after="0"/>
              <w:rPr>
                <w:sz w:val="22"/>
                <w:szCs w:val="22"/>
                <w:color w:val="auto"/>
              </w:rPr>
            </w:pPr>
          </w:p>
        </w:tc>
        <w:tc>
          <w:tcPr>
            <w:tcW w:w="20" w:type="dxa"/>
            <w:vAlign w:val="bottom"/>
            <w:shd w:val="clear" w:color="auto" w:fill="0063A6"/>
          </w:tcPr>
          <w:p>
            <w:pPr>
              <w:spacing w:after="0"/>
              <w:rPr>
                <w:sz w:val="22"/>
                <w:szCs w:val="22"/>
                <w:color w:val="auto"/>
              </w:rPr>
            </w:pPr>
          </w:p>
        </w:tc>
        <w:tc>
          <w:tcPr>
            <w:tcW w:w="280" w:type="dxa"/>
            <w:vAlign w:val="bottom"/>
            <w:shd w:val="clear" w:color="auto" w:fill="0063A6"/>
          </w:tcPr>
          <w:p>
            <w:pPr>
              <w:spacing w:after="0"/>
              <w:rPr>
                <w:sz w:val="22"/>
                <w:szCs w:val="22"/>
                <w:color w:val="auto"/>
              </w:rPr>
            </w:pPr>
          </w:p>
        </w:tc>
        <w:tc>
          <w:tcPr>
            <w:tcW w:w="130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1440" w:type="dxa"/>
            <w:vAlign w:val="bottom"/>
            <w:shd w:val="clear" w:color="auto" w:fill="0063A6"/>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6"/>
        </w:trPr>
        <w:tc>
          <w:tcPr>
            <w:tcW w:w="40" w:type="dxa"/>
            <w:vAlign w:val="bottom"/>
            <w:shd w:val="clear" w:color="auto" w:fill="0063A6"/>
          </w:tcPr>
          <w:p>
            <w:pPr>
              <w:spacing w:after="0"/>
              <w:rPr>
                <w:sz w:val="5"/>
                <w:szCs w:val="5"/>
                <w:color w:val="auto"/>
              </w:rPr>
            </w:pPr>
          </w:p>
        </w:tc>
        <w:tc>
          <w:tcPr>
            <w:tcW w:w="2900" w:type="dxa"/>
            <w:vAlign w:val="bottom"/>
            <w:shd w:val="clear" w:color="auto" w:fill="0063A6"/>
          </w:tcPr>
          <w:p>
            <w:pPr>
              <w:spacing w:after="0"/>
              <w:rPr>
                <w:sz w:val="5"/>
                <w:szCs w:val="5"/>
                <w:color w:val="auto"/>
              </w:rPr>
            </w:pPr>
          </w:p>
        </w:tc>
        <w:tc>
          <w:tcPr>
            <w:tcW w:w="420" w:type="dxa"/>
            <w:vAlign w:val="bottom"/>
            <w:shd w:val="clear" w:color="auto" w:fill="0063A6"/>
          </w:tcPr>
          <w:p>
            <w:pPr>
              <w:spacing w:after="0"/>
              <w:rPr>
                <w:sz w:val="5"/>
                <w:szCs w:val="5"/>
                <w:color w:val="auto"/>
              </w:rPr>
            </w:pPr>
          </w:p>
        </w:tc>
        <w:tc>
          <w:tcPr>
            <w:tcW w:w="300" w:type="dxa"/>
            <w:vAlign w:val="bottom"/>
            <w:shd w:val="clear" w:color="auto" w:fill="0063A6"/>
          </w:tcPr>
          <w:p>
            <w:pPr>
              <w:spacing w:after="0"/>
              <w:rPr>
                <w:sz w:val="5"/>
                <w:szCs w:val="5"/>
                <w:color w:val="auto"/>
              </w:rPr>
            </w:pPr>
          </w:p>
        </w:tc>
        <w:tc>
          <w:tcPr>
            <w:tcW w:w="980" w:type="dxa"/>
            <w:vAlign w:val="bottom"/>
            <w:shd w:val="clear" w:color="auto" w:fill="0063A6"/>
          </w:tcPr>
          <w:p>
            <w:pPr>
              <w:spacing w:after="0"/>
              <w:rPr>
                <w:sz w:val="5"/>
                <w:szCs w:val="5"/>
                <w:color w:val="auto"/>
              </w:rPr>
            </w:pPr>
          </w:p>
        </w:tc>
        <w:tc>
          <w:tcPr>
            <w:tcW w:w="260" w:type="dxa"/>
            <w:vAlign w:val="bottom"/>
            <w:shd w:val="clear" w:color="auto" w:fill="0063A6"/>
          </w:tcPr>
          <w:p>
            <w:pPr>
              <w:spacing w:after="0"/>
              <w:rPr>
                <w:sz w:val="5"/>
                <w:szCs w:val="5"/>
                <w:color w:val="auto"/>
              </w:rPr>
            </w:pPr>
          </w:p>
        </w:tc>
        <w:tc>
          <w:tcPr>
            <w:tcW w:w="340" w:type="dxa"/>
            <w:vAlign w:val="bottom"/>
            <w:shd w:val="clear" w:color="auto" w:fill="0063A6"/>
          </w:tcPr>
          <w:p>
            <w:pPr>
              <w:spacing w:after="0"/>
              <w:rPr>
                <w:sz w:val="5"/>
                <w:szCs w:val="5"/>
                <w:color w:val="auto"/>
              </w:rPr>
            </w:pPr>
          </w:p>
        </w:tc>
        <w:tc>
          <w:tcPr>
            <w:tcW w:w="1140" w:type="dxa"/>
            <w:vAlign w:val="bottom"/>
            <w:shd w:val="clear" w:color="auto" w:fill="0063A6"/>
          </w:tcPr>
          <w:p>
            <w:pPr>
              <w:spacing w:after="0"/>
              <w:rPr>
                <w:sz w:val="5"/>
                <w:szCs w:val="5"/>
                <w:color w:val="auto"/>
              </w:rPr>
            </w:pPr>
          </w:p>
        </w:tc>
        <w:tc>
          <w:tcPr>
            <w:tcW w:w="20" w:type="dxa"/>
            <w:vAlign w:val="bottom"/>
            <w:shd w:val="clear" w:color="auto" w:fill="0063A6"/>
          </w:tcPr>
          <w:p>
            <w:pPr>
              <w:spacing w:after="0"/>
              <w:rPr>
                <w:sz w:val="5"/>
                <w:szCs w:val="5"/>
                <w:color w:val="auto"/>
              </w:rPr>
            </w:pPr>
          </w:p>
        </w:tc>
        <w:tc>
          <w:tcPr>
            <w:tcW w:w="28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144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African American or Black</w:t>
            </w:r>
          </w:p>
        </w:tc>
        <w:tc>
          <w:tcPr>
            <w:tcW w:w="420" w:type="dxa"/>
            <w:vAlign w:val="bottom"/>
          </w:tcPr>
          <w:p>
            <w:pPr>
              <w:ind w:left="360"/>
              <w:spacing w:after="0"/>
              <w:rPr>
                <w:sz w:val="20"/>
                <w:szCs w:val="20"/>
                <w:color w:val="auto"/>
              </w:rPr>
            </w:pPr>
            <w:r>
              <w:rPr>
                <w:rFonts w:ascii="Arial" w:cs="Arial" w:eastAsia="Arial" w:hAnsi="Arial"/>
                <w:sz w:val="4"/>
                <w:szCs w:val="4"/>
                <w:color w:val="auto"/>
              </w:rPr>
              <w:t>​</w:t>
            </w:r>
          </w:p>
        </w:tc>
        <w:tc>
          <w:tcPr>
            <w:tcW w:w="3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spacing w:after="0"/>
              <w:rPr>
                <w:sz w:val="24"/>
                <w:szCs w:val="24"/>
                <w:color w:val="auto"/>
              </w:rPr>
            </w:pPr>
          </w:p>
        </w:tc>
        <w:tc>
          <w:tcPr>
            <w:tcW w:w="260" w:type="dxa"/>
            <w:vAlign w:val="bottom"/>
          </w:tcPr>
          <w:p>
            <w:pPr>
              <w:ind w:left="200"/>
              <w:spacing w:after="0"/>
              <w:rPr>
                <w:sz w:val="20"/>
                <w:szCs w:val="20"/>
                <w:color w:val="auto"/>
              </w:rPr>
            </w:pPr>
            <w:r>
              <w:rPr>
                <w:rFonts w:ascii="Arial" w:cs="Arial" w:eastAsia="Arial" w:hAnsi="Arial"/>
                <w:sz w:val="4"/>
                <w:szCs w:val="4"/>
                <w:color w:val="auto"/>
              </w:rPr>
              <w:t>​</w:t>
            </w:r>
          </w:p>
        </w:tc>
        <w:tc>
          <w:tcPr>
            <w:tcW w:w="340" w:type="dxa"/>
            <w:vAlign w:val="bottom"/>
          </w:tcPr>
          <w:p>
            <w:pPr>
              <w:ind w:left="40"/>
              <w:spacing w:after="0"/>
              <w:rPr>
                <w:sz w:val="20"/>
                <w:szCs w:val="20"/>
                <w:color w:val="auto"/>
              </w:rPr>
            </w:pPr>
            <w:r>
              <w:rPr>
                <w:rFonts w:ascii="Arial" w:cs="Arial" w:eastAsia="Arial" w:hAnsi="Arial"/>
                <w:sz w:val="4"/>
                <w:szCs w:val="4"/>
                <w:color w:val="auto"/>
              </w:rPr>
              <w:t>​</w:t>
            </w:r>
          </w:p>
        </w:tc>
        <w:tc>
          <w:tcPr>
            <w:tcW w:w="1140" w:type="dxa"/>
            <w:vAlign w:val="bottom"/>
          </w:tcPr>
          <w:p>
            <w:pPr>
              <w:ind w:left="4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80" w:type="dxa"/>
            <w:vAlign w:val="bottom"/>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tcPr>
          <w:p>
            <w:pPr>
              <w:ind w:left="12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Alaskan Native or Native American</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24"/>
                <w:szCs w:val="24"/>
                <w:color w:val="auto"/>
              </w:rPr>
            </w:pPr>
          </w:p>
        </w:tc>
        <w:tc>
          <w:tcPr>
            <w:tcW w:w="26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F2F2F2"/>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shd w:val="clear" w:color="auto" w:fill="F2F2F2"/>
          </w:tcPr>
          <w:p>
            <w:pPr>
              <w:spacing w:after="0"/>
              <w:rPr>
                <w:sz w:val="6"/>
                <w:szCs w:val="6"/>
                <w:color w:val="auto"/>
              </w:rPr>
            </w:pPr>
          </w:p>
        </w:tc>
        <w:tc>
          <w:tcPr>
            <w:tcW w:w="2900" w:type="dxa"/>
            <w:vAlign w:val="bottom"/>
            <w:shd w:val="clear" w:color="auto" w:fill="F2F2F2"/>
          </w:tcPr>
          <w:p>
            <w:pPr>
              <w:spacing w:after="0"/>
              <w:rPr>
                <w:sz w:val="6"/>
                <w:szCs w:val="6"/>
                <w:color w:val="auto"/>
              </w:rPr>
            </w:pPr>
          </w:p>
        </w:tc>
        <w:tc>
          <w:tcPr>
            <w:tcW w:w="420" w:type="dxa"/>
            <w:vAlign w:val="bottom"/>
            <w:shd w:val="clear" w:color="auto" w:fill="F2F2F2"/>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2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4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Asian</w:t>
            </w:r>
          </w:p>
        </w:tc>
        <w:tc>
          <w:tcPr>
            <w:tcW w:w="420" w:type="dxa"/>
            <w:vAlign w:val="bottom"/>
          </w:tcPr>
          <w:p>
            <w:pPr>
              <w:ind w:left="360"/>
              <w:spacing w:after="0"/>
              <w:rPr>
                <w:sz w:val="20"/>
                <w:szCs w:val="20"/>
                <w:color w:val="auto"/>
              </w:rPr>
            </w:pPr>
            <w:r>
              <w:rPr>
                <w:rFonts w:ascii="Arial" w:cs="Arial" w:eastAsia="Arial" w:hAnsi="Arial"/>
                <w:sz w:val="4"/>
                <w:szCs w:val="4"/>
                <w:color w:val="auto"/>
              </w:rPr>
              <w:t>​</w:t>
            </w:r>
          </w:p>
        </w:tc>
        <w:tc>
          <w:tcPr>
            <w:tcW w:w="3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ind w:left="460"/>
              <w:spacing w:after="0"/>
              <w:rPr>
                <w:sz w:val="20"/>
                <w:szCs w:val="20"/>
                <w:color w:val="auto"/>
              </w:rPr>
            </w:pPr>
            <w:r>
              <w:rPr>
                <w:rFonts w:ascii="Arial" w:cs="Arial" w:eastAsia="Arial" w:hAnsi="Arial"/>
                <w:sz w:val="16"/>
                <w:szCs w:val="16"/>
                <w:color w:val="auto"/>
              </w:rPr>
              <w:t>1</w:t>
            </w:r>
          </w:p>
        </w:tc>
        <w:tc>
          <w:tcPr>
            <w:tcW w:w="260" w:type="dxa"/>
            <w:vAlign w:val="bottom"/>
          </w:tcPr>
          <w:p>
            <w:pPr>
              <w:ind w:left="200"/>
              <w:spacing w:after="0"/>
              <w:rPr>
                <w:sz w:val="20"/>
                <w:szCs w:val="20"/>
                <w:color w:val="auto"/>
              </w:rPr>
            </w:pPr>
            <w:r>
              <w:rPr>
                <w:rFonts w:ascii="Arial" w:cs="Arial" w:eastAsia="Arial" w:hAnsi="Arial"/>
                <w:sz w:val="4"/>
                <w:szCs w:val="4"/>
                <w:color w:val="auto"/>
              </w:rPr>
              <w:t>​</w:t>
            </w:r>
          </w:p>
        </w:tc>
        <w:tc>
          <w:tcPr>
            <w:tcW w:w="340" w:type="dxa"/>
            <w:vAlign w:val="bottom"/>
          </w:tcPr>
          <w:p>
            <w:pPr>
              <w:ind w:left="40"/>
              <w:spacing w:after="0"/>
              <w:rPr>
                <w:sz w:val="20"/>
                <w:szCs w:val="20"/>
                <w:color w:val="auto"/>
              </w:rPr>
            </w:pPr>
            <w:r>
              <w:rPr>
                <w:rFonts w:ascii="Arial" w:cs="Arial" w:eastAsia="Arial" w:hAnsi="Arial"/>
                <w:sz w:val="4"/>
                <w:szCs w:val="4"/>
                <w:color w:val="auto"/>
              </w:rPr>
              <w:t>​</w:t>
            </w:r>
          </w:p>
        </w:tc>
        <w:tc>
          <w:tcPr>
            <w:tcW w:w="1140" w:type="dxa"/>
            <w:vAlign w:val="bottom"/>
          </w:tcPr>
          <w:p>
            <w:pPr>
              <w:ind w:left="4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80" w:type="dxa"/>
            <w:vAlign w:val="bottom"/>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tcPr>
          <w:p>
            <w:pPr>
              <w:ind w:left="12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Hispanic or Latinx</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24"/>
                <w:szCs w:val="24"/>
                <w:color w:val="auto"/>
              </w:rPr>
            </w:pPr>
          </w:p>
        </w:tc>
        <w:tc>
          <w:tcPr>
            <w:tcW w:w="26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F2F2F2"/>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shd w:val="clear" w:color="auto" w:fill="F2F2F2"/>
          </w:tcPr>
          <w:p>
            <w:pPr>
              <w:spacing w:after="0"/>
              <w:rPr>
                <w:sz w:val="6"/>
                <w:szCs w:val="6"/>
                <w:color w:val="auto"/>
              </w:rPr>
            </w:pPr>
          </w:p>
        </w:tc>
        <w:tc>
          <w:tcPr>
            <w:tcW w:w="2900" w:type="dxa"/>
            <w:vAlign w:val="bottom"/>
            <w:shd w:val="clear" w:color="auto" w:fill="F2F2F2"/>
          </w:tcPr>
          <w:p>
            <w:pPr>
              <w:spacing w:after="0"/>
              <w:rPr>
                <w:sz w:val="6"/>
                <w:szCs w:val="6"/>
                <w:color w:val="auto"/>
              </w:rPr>
            </w:pPr>
          </w:p>
        </w:tc>
        <w:tc>
          <w:tcPr>
            <w:tcW w:w="420" w:type="dxa"/>
            <w:vAlign w:val="bottom"/>
            <w:shd w:val="clear" w:color="auto" w:fill="F2F2F2"/>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2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4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Native Hawaiian or Pacific Islander</w:t>
            </w:r>
          </w:p>
        </w:tc>
        <w:tc>
          <w:tcPr>
            <w:tcW w:w="420" w:type="dxa"/>
            <w:vAlign w:val="bottom"/>
          </w:tcPr>
          <w:p>
            <w:pPr>
              <w:ind w:left="360"/>
              <w:spacing w:after="0"/>
              <w:rPr>
                <w:sz w:val="20"/>
                <w:szCs w:val="20"/>
                <w:color w:val="auto"/>
              </w:rPr>
            </w:pPr>
            <w:r>
              <w:rPr>
                <w:rFonts w:ascii="Arial" w:cs="Arial" w:eastAsia="Arial" w:hAnsi="Arial"/>
                <w:sz w:val="4"/>
                <w:szCs w:val="4"/>
                <w:color w:val="auto"/>
              </w:rPr>
              <w:t>​</w:t>
            </w:r>
          </w:p>
        </w:tc>
        <w:tc>
          <w:tcPr>
            <w:tcW w:w="3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spacing w:after="0"/>
              <w:rPr>
                <w:sz w:val="24"/>
                <w:szCs w:val="24"/>
                <w:color w:val="auto"/>
              </w:rPr>
            </w:pPr>
          </w:p>
        </w:tc>
        <w:tc>
          <w:tcPr>
            <w:tcW w:w="260" w:type="dxa"/>
            <w:vAlign w:val="bottom"/>
          </w:tcPr>
          <w:p>
            <w:pPr>
              <w:ind w:left="200"/>
              <w:spacing w:after="0"/>
              <w:rPr>
                <w:sz w:val="20"/>
                <w:szCs w:val="20"/>
                <w:color w:val="auto"/>
              </w:rPr>
            </w:pPr>
            <w:r>
              <w:rPr>
                <w:rFonts w:ascii="Arial" w:cs="Arial" w:eastAsia="Arial" w:hAnsi="Arial"/>
                <w:sz w:val="4"/>
                <w:szCs w:val="4"/>
                <w:color w:val="auto"/>
              </w:rPr>
              <w:t>​</w:t>
            </w:r>
          </w:p>
        </w:tc>
        <w:tc>
          <w:tcPr>
            <w:tcW w:w="340" w:type="dxa"/>
            <w:vAlign w:val="bottom"/>
          </w:tcPr>
          <w:p>
            <w:pPr>
              <w:ind w:left="40"/>
              <w:spacing w:after="0"/>
              <w:rPr>
                <w:sz w:val="20"/>
                <w:szCs w:val="20"/>
                <w:color w:val="auto"/>
              </w:rPr>
            </w:pPr>
            <w:r>
              <w:rPr>
                <w:rFonts w:ascii="Arial" w:cs="Arial" w:eastAsia="Arial" w:hAnsi="Arial"/>
                <w:sz w:val="4"/>
                <w:szCs w:val="4"/>
                <w:color w:val="auto"/>
              </w:rPr>
              <w:t>​</w:t>
            </w:r>
          </w:p>
        </w:tc>
        <w:tc>
          <w:tcPr>
            <w:tcW w:w="114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80" w:type="dxa"/>
            <w:vAlign w:val="bottom"/>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tcPr>
          <w:p>
            <w:pPr>
              <w:ind w:left="12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White</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460"/>
              <w:spacing w:after="0"/>
              <w:rPr>
                <w:sz w:val="20"/>
                <w:szCs w:val="20"/>
                <w:color w:val="auto"/>
              </w:rPr>
            </w:pPr>
            <w:r>
              <w:rPr>
                <w:rFonts w:ascii="Arial" w:cs="Arial" w:eastAsia="Arial" w:hAnsi="Arial"/>
                <w:sz w:val="16"/>
                <w:szCs w:val="16"/>
                <w:color w:val="auto"/>
              </w:rPr>
              <w:t>2</w:t>
            </w:r>
          </w:p>
        </w:tc>
        <w:tc>
          <w:tcPr>
            <w:tcW w:w="26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ind w:left="420"/>
              <w:spacing w:after="0"/>
              <w:rPr>
                <w:sz w:val="20"/>
                <w:szCs w:val="20"/>
                <w:color w:val="auto"/>
              </w:rPr>
            </w:pPr>
            <w:r>
              <w:rPr>
                <w:rFonts w:ascii="Arial" w:cs="Arial" w:eastAsia="Arial" w:hAnsi="Arial"/>
                <w:sz w:val="16"/>
                <w:szCs w:val="16"/>
                <w:color w:val="auto"/>
              </w:rPr>
              <w:t>3</w:t>
            </w:r>
          </w:p>
        </w:tc>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F2F2F2"/>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3"/>
        </w:trPr>
        <w:tc>
          <w:tcPr>
            <w:tcW w:w="40" w:type="dxa"/>
            <w:vAlign w:val="bottom"/>
            <w:shd w:val="clear" w:color="auto" w:fill="F2F2F2"/>
          </w:tcPr>
          <w:p>
            <w:pPr>
              <w:spacing w:after="0"/>
              <w:rPr>
                <w:sz w:val="6"/>
                <w:szCs w:val="6"/>
                <w:color w:val="auto"/>
              </w:rPr>
            </w:pPr>
          </w:p>
        </w:tc>
        <w:tc>
          <w:tcPr>
            <w:tcW w:w="2900" w:type="dxa"/>
            <w:vAlign w:val="bottom"/>
            <w:shd w:val="clear" w:color="auto" w:fill="F2F2F2"/>
          </w:tcPr>
          <w:p>
            <w:pPr>
              <w:spacing w:after="0"/>
              <w:rPr>
                <w:sz w:val="6"/>
                <w:szCs w:val="6"/>
                <w:color w:val="auto"/>
              </w:rPr>
            </w:pPr>
          </w:p>
        </w:tc>
        <w:tc>
          <w:tcPr>
            <w:tcW w:w="420" w:type="dxa"/>
            <w:vAlign w:val="bottom"/>
            <w:shd w:val="clear" w:color="auto" w:fill="F2F2F2"/>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2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4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Two or More Races or Ethnicities</w:t>
            </w:r>
          </w:p>
        </w:tc>
        <w:tc>
          <w:tcPr>
            <w:tcW w:w="420" w:type="dxa"/>
            <w:vAlign w:val="bottom"/>
          </w:tcPr>
          <w:p>
            <w:pPr>
              <w:ind w:left="360"/>
              <w:spacing w:after="0"/>
              <w:rPr>
                <w:sz w:val="20"/>
                <w:szCs w:val="20"/>
                <w:color w:val="auto"/>
              </w:rPr>
            </w:pPr>
            <w:r>
              <w:rPr>
                <w:rFonts w:ascii="Arial" w:cs="Arial" w:eastAsia="Arial" w:hAnsi="Arial"/>
                <w:sz w:val="4"/>
                <w:szCs w:val="4"/>
                <w:color w:val="auto"/>
              </w:rPr>
              <w:t>​</w:t>
            </w:r>
          </w:p>
        </w:tc>
        <w:tc>
          <w:tcPr>
            <w:tcW w:w="3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spacing w:after="0"/>
              <w:rPr>
                <w:sz w:val="24"/>
                <w:szCs w:val="24"/>
                <w:color w:val="auto"/>
              </w:rPr>
            </w:pPr>
          </w:p>
        </w:tc>
        <w:tc>
          <w:tcPr>
            <w:tcW w:w="260" w:type="dxa"/>
            <w:vAlign w:val="bottom"/>
          </w:tcPr>
          <w:p>
            <w:pPr>
              <w:ind w:left="200"/>
              <w:spacing w:after="0"/>
              <w:rPr>
                <w:sz w:val="20"/>
                <w:szCs w:val="20"/>
                <w:color w:val="auto"/>
              </w:rPr>
            </w:pPr>
            <w:r>
              <w:rPr>
                <w:rFonts w:ascii="Arial" w:cs="Arial" w:eastAsia="Arial" w:hAnsi="Arial"/>
                <w:sz w:val="4"/>
                <w:szCs w:val="4"/>
                <w:color w:val="auto"/>
              </w:rPr>
              <w:t>​</w:t>
            </w:r>
          </w:p>
        </w:tc>
        <w:tc>
          <w:tcPr>
            <w:tcW w:w="340" w:type="dxa"/>
            <w:vAlign w:val="bottom"/>
          </w:tcPr>
          <w:p>
            <w:pPr>
              <w:ind w:left="40"/>
              <w:spacing w:after="0"/>
              <w:rPr>
                <w:sz w:val="20"/>
                <w:szCs w:val="20"/>
                <w:color w:val="auto"/>
              </w:rPr>
            </w:pPr>
            <w:r>
              <w:rPr>
                <w:rFonts w:ascii="Arial" w:cs="Arial" w:eastAsia="Arial" w:hAnsi="Arial"/>
                <w:sz w:val="4"/>
                <w:szCs w:val="4"/>
                <w:color w:val="auto"/>
              </w:rPr>
              <w:t>​</w:t>
            </w:r>
          </w:p>
        </w:tc>
        <w:tc>
          <w:tcPr>
            <w:tcW w:w="114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80" w:type="dxa"/>
            <w:vAlign w:val="bottom"/>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tcPr>
          <w:p>
            <w:pPr>
              <w:ind w:left="12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90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LGBTQ+</w:t>
            </w:r>
          </w:p>
        </w:tc>
        <w:tc>
          <w:tcPr>
            <w:tcW w:w="420" w:type="dxa"/>
            <w:vAlign w:val="bottom"/>
            <w:shd w:val="clear" w:color="auto" w:fill="F2F2F2"/>
          </w:tcPr>
          <w:p>
            <w:pPr>
              <w:ind w:left="3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24"/>
                <w:szCs w:val="24"/>
                <w:color w:val="auto"/>
              </w:rPr>
            </w:pPr>
          </w:p>
        </w:tc>
        <w:tc>
          <w:tcPr>
            <w:tcW w:w="26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80" w:type="dxa"/>
            <w:vAlign w:val="bottom"/>
            <w:shd w:val="clear" w:color="auto" w:fill="F2F2F2"/>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ind w:left="124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40" w:type="dxa"/>
            <w:vAlign w:val="bottom"/>
            <w:shd w:val="clear" w:color="auto" w:fill="F2F2F2"/>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4"/>
        </w:trPr>
        <w:tc>
          <w:tcPr>
            <w:tcW w:w="40" w:type="dxa"/>
            <w:vAlign w:val="bottom"/>
            <w:shd w:val="clear" w:color="auto" w:fill="F2F2F2"/>
          </w:tcPr>
          <w:p>
            <w:pPr>
              <w:spacing w:after="0"/>
              <w:rPr>
                <w:sz w:val="6"/>
                <w:szCs w:val="6"/>
                <w:color w:val="auto"/>
              </w:rPr>
            </w:pPr>
          </w:p>
        </w:tc>
        <w:tc>
          <w:tcPr>
            <w:tcW w:w="2900" w:type="dxa"/>
            <w:vAlign w:val="bottom"/>
            <w:shd w:val="clear" w:color="auto" w:fill="F2F2F2"/>
          </w:tcPr>
          <w:p>
            <w:pPr>
              <w:spacing w:after="0"/>
              <w:rPr>
                <w:sz w:val="6"/>
                <w:szCs w:val="6"/>
                <w:color w:val="auto"/>
              </w:rPr>
            </w:pPr>
          </w:p>
        </w:tc>
        <w:tc>
          <w:tcPr>
            <w:tcW w:w="420" w:type="dxa"/>
            <w:vAlign w:val="bottom"/>
            <w:shd w:val="clear" w:color="auto" w:fill="F2F2F2"/>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2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13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4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Did Not Disclose Demographic</w:t>
            </w:r>
          </w:p>
        </w:tc>
        <w:tc>
          <w:tcPr>
            <w:tcW w:w="420" w:type="dxa"/>
            <w:vAlign w:val="bottom"/>
          </w:tcPr>
          <w:p>
            <w:pPr>
              <w:ind w:left="360"/>
              <w:spacing w:after="0"/>
              <w:rPr>
                <w:sz w:val="20"/>
                <w:szCs w:val="20"/>
                <w:color w:val="auto"/>
              </w:rPr>
            </w:pPr>
            <w:r>
              <w:rPr>
                <w:rFonts w:ascii="Arial" w:cs="Arial" w:eastAsia="Arial" w:hAnsi="Arial"/>
                <w:sz w:val="4"/>
                <w:szCs w:val="4"/>
                <w:color w:val="auto"/>
              </w:rPr>
              <w:t>​</w:t>
            </w:r>
          </w:p>
        </w:tc>
        <w:tc>
          <w:tcPr>
            <w:tcW w:w="3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spacing w:after="0"/>
              <w:rPr>
                <w:sz w:val="23"/>
                <w:szCs w:val="23"/>
                <w:color w:val="auto"/>
              </w:rPr>
            </w:pPr>
          </w:p>
        </w:tc>
        <w:tc>
          <w:tcPr>
            <w:tcW w:w="260" w:type="dxa"/>
            <w:vAlign w:val="bottom"/>
          </w:tcPr>
          <w:p>
            <w:pPr>
              <w:ind w:left="200"/>
              <w:spacing w:after="0"/>
              <w:rPr>
                <w:sz w:val="20"/>
                <w:szCs w:val="20"/>
                <w:color w:val="auto"/>
              </w:rPr>
            </w:pPr>
            <w:r>
              <w:rPr>
                <w:rFonts w:ascii="Arial" w:cs="Arial" w:eastAsia="Arial" w:hAnsi="Arial"/>
                <w:sz w:val="4"/>
                <w:szCs w:val="4"/>
                <w:color w:val="auto"/>
              </w:rPr>
              <w:t>​</w:t>
            </w:r>
          </w:p>
        </w:tc>
        <w:tc>
          <w:tcPr>
            <w:tcW w:w="340" w:type="dxa"/>
            <w:vAlign w:val="bottom"/>
          </w:tcPr>
          <w:p>
            <w:pPr>
              <w:ind w:left="40"/>
              <w:spacing w:after="0"/>
              <w:rPr>
                <w:sz w:val="20"/>
                <w:szCs w:val="20"/>
                <w:color w:val="auto"/>
              </w:rPr>
            </w:pPr>
            <w:r>
              <w:rPr>
                <w:rFonts w:ascii="Arial" w:cs="Arial" w:eastAsia="Arial" w:hAnsi="Arial"/>
                <w:sz w:val="4"/>
                <w:szCs w:val="4"/>
                <w:color w:val="auto"/>
              </w:rPr>
              <w:t>​</w:t>
            </w:r>
          </w:p>
        </w:tc>
        <w:tc>
          <w:tcPr>
            <w:tcW w:w="1140" w:type="dxa"/>
            <w:vAlign w:val="bottom"/>
          </w:tcPr>
          <w:p>
            <w:pPr>
              <w:spacing w:after="0"/>
              <w:rPr>
                <w:sz w:val="23"/>
                <w:szCs w:val="23"/>
                <w:color w:val="auto"/>
              </w:rPr>
            </w:pP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80" w:type="dxa"/>
            <w:vAlign w:val="bottom"/>
          </w:tcPr>
          <w:p>
            <w:pPr>
              <w:jc w:val="right"/>
              <w:ind w:right="178"/>
              <w:spacing w:after="0"/>
              <w:rPr>
                <w:sz w:val="20"/>
                <w:szCs w:val="20"/>
                <w:color w:val="auto"/>
              </w:rPr>
            </w:pPr>
            <w:r>
              <w:rPr>
                <w:rFonts w:ascii="Arial" w:cs="Arial" w:eastAsia="Arial" w:hAnsi="Arial"/>
                <w:sz w:val="4"/>
                <w:szCs w:val="4"/>
                <w:color w:val="auto"/>
              </w:rPr>
              <w:t>​</w:t>
            </w:r>
          </w:p>
        </w:tc>
        <w:tc>
          <w:tcPr>
            <w:tcW w:w="1300" w:type="dxa"/>
            <w:vAlign w:val="bottom"/>
          </w:tcPr>
          <w:p>
            <w:pPr>
              <w:ind w:left="12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1440" w:type="dxa"/>
            <w:vAlign w:val="bottom"/>
          </w:tcPr>
          <w:p>
            <w:pPr>
              <w:jc w:val="right"/>
              <w:ind w:right="55"/>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Background</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-3230245</wp:posOffset>
            </wp:positionV>
            <wp:extent cx="6077585" cy="3265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7585" cy="3265805"/>
                    </a:xfrm>
                    <a:prstGeom prst="rect">
                      <a:avLst/>
                    </a:prstGeom>
                    <a:noFill/>
                  </pic:spPr>
                </pic:pic>
              </a:graphicData>
            </a:graphic>
          </wp:anchor>
        </w:drawing>
      </w:r>
    </w:p>
    <w:p>
      <w:pPr>
        <w:spacing w:after="0" w:line="54" w:lineRule="exact"/>
        <w:rPr>
          <w:sz w:val="20"/>
          <w:szCs w:val="20"/>
          <w:color w:val="auto"/>
        </w:rPr>
      </w:pPr>
    </w:p>
    <w:p>
      <w:pPr>
        <w:ind w:left="244" w:hanging="244"/>
        <w:spacing w:after="0"/>
        <w:tabs>
          <w:tab w:leader="none" w:pos="244"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The Board Diversity Matrix above presents our board's diversity statistics in the format prescribed by the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179070</wp:posOffset>
            </wp:positionV>
            <wp:extent cx="3505835" cy="2082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058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564"/>
          </w:cols>
          <w:pgMar w:left="1156" w:top="265" w:right="1179" w:bottom="1440" w:gutter="0" w:footer="0" w:header="0"/>
        </w:sectPr>
      </w:pPr>
    </w:p>
    <w:p>
      <w:pPr>
        <w:spacing w:after="0" w:line="20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b w:val="1"/>
          <w:bCs w:val="1"/>
          <w:color w:val="0063A6"/>
        </w:rPr>
        <w:tab/>
        <w:t xml:space="preserve">Dropbox, Inc.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0" w:name="page11"/>
    <w:bookmarkEnd w:id="10"/>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right="134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32"/>
          <w:szCs w:val="32"/>
          <w:color w:val="auto"/>
        </w:rPr>
        <w:t> </w:t>
      </w:r>
    </w:p>
    <w:p>
      <w:pPr>
        <w:ind w:left="720"/>
        <w:spacing w:after="0"/>
        <w:rPr>
          <w:sz w:val="20"/>
          <w:szCs w:val="20"/>
          <w:color w:val="auto"/>
        </w:rPr>
      </w:pPr>
      <w:r>
        <w:rPr>
          <w:rFonts w:ascii="Arial" w:cs="Arial" w:eastAsia="Arial" w:hAnsi="Arial"/>
          <w:sz w:val="26"/>
          <w:szCs w:val="26"/>
          <w:color w:val="0063A6"/>
        </w:rPr>
        <w:t>Nominees for Director</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provides summary information about each of our director nominees as of March 23, 2023:</w:t>
      </w:r>
    </w:p>
    <w:p>
      <w:pPr>
        <w:sectPr>
          <w:pgSz w:w="11900" w:h="16838" w:orient="portrait"/>
          <w:cols w:equalWidth="0" w:num="1">
            <w:col w:w="11020"/>
          </w:cols>
          <w:pgMar w:left="440" w:top="265" w:right="439" w:bottom="1440" w:gutter="0" w:footer="0" w:header="0"/>
        </w:sectPr>
      </w:pP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9480" w:type="dxa"/>
            <w:vAlign w:val="bottom"/>
            <w:gridSpan w:val="2"/>
          </w:tcPr>
          <w:p>
            <w:pPr>
              <w:jc w:val="right"/>
              <w:ind w:right="4694"/>
              <w:spacing w:after="0"/>
              <w:rPr>
                <w:sz w:val="20"/>
                <w:szCs w:val="20"/>
                <w:color w:val="auto"/>
              </w:rPr>
            </w:pPr>
            <w:r>
              <w:rPr>
                <w:rFonts w:ascii="Arial" w:cs="Arial" w:eastAsia="Arial" w:hAnsi="Arial"/>
                <w:sz w:val="4"/>
                <w:szCs w:val="4"/>
                <w:color w:val="auto"/>
                <w:w w:val="99"/>
              </w:rPr>
              <w:t xml:space="preserve">​​  </w:t>
            </w:r>
            <w:r>
              <w:rPr>
                <w:rFonts w:ascii="Arial" w:cs="Arial" w:eastAsia="Arial" w:hAnsi="Arial"/>
                <w:sz w:val="16"/>
                <w:szCs w:val="16"/>
                <w:b w:val="1"/>
                <w:bCs w:val="1"/>
                <w:color w:val="0063A6"/>
                <w:w w:val="99"/>
              </w:rPr>
              <w:t>ANDREWW. HOUSTON</w:t>
            </w:r>
          </w:p>
        </w:tc>
      </w:tr>
      <w:tr>
        <w:trPr>
          <w:trHeight w:val="67"/>
        </w:trPr>
        <w:tc>
          <w:tcPr>
            <w:tcW w:w="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r>
      <w:tr>
        <w:trPr>
          <w:trHeight w:val="32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40</w:t>
            </w:r>
          </w:p>
        </w:tc>
      </w:tr>
      <w:tr>
        <w:trPr>
          <w:trHeight w:val="169"/>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580" w:type="dxa"/>
            <w:vAlign w:val="bottom"/>
          </w:tcPr>
          <w:p>
            <w:pPr>
              <w:jc w:val="right"/>
              <w:ind w:right="6474"/>
              <w:spacing w:after="0"/>
              <w:rPr>
                <w:sz w:val="20"/>
                <w:szCs w:val="20"/>
                <w:color w:val="auto"/>
              </w:rPr>
            </w:pPr>
            <w:r>
              <w:rPr>
                <w:rFonts w:ascii="Arial" w:cs="Arial" w:eastAsia="Arial" w:hAnsi="Arial"/>
                <w:sz w:val="2"/>
                <w:szCs w:val="2"/>
                <w:color w:val="auto"/>
                <w:w w:val="97"/>
              </w:rPr>
              <w:t> </w:t>
            </w:r>
          </w:p>
        </w:tc>
      </w:tr>
      <w:tr>
        <w:trPr>
          <w:trHeight w:val="209"/>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tc>
      </w:tr>
      <w:tr>
        <w:trPr>
          <w:trHeight w:val="169"/>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580" w:type="dxa"/>
            <w:vAlign w:val="bottom"/>
          </w:tcPr>
          <w:p>
            <w:pPr>
              <w:jc w:val="right"/>
              <w:ind w:right="6474"/>
              <w:spacing w:after="0"/>
              <w:rPr>
                <w:sz w:val="20"/>
                <w:szCs w:val="20"/>
                <w:color w:val="auto"/>
              </w:rPr>
            </w:pPr>
            <w:r>
              <w:rPr>
                <w:rFonts w:ascii="Arial" w:cs="Arial" w:eastAsia="Arial" w:hAnsi="Arial"/>
                <w:sz w:val="2"/>
                <w:szCs w:val="2"/>
                <w:color w:val="auto"/>
                <w:w w:val="97"/>
              </w:rPr>
              <w:t> </w:t>
            </w:r>
          </w:p>
        </w:tc>
      </w:tr>
      <w:tr>
        <w:trPr>
          <w:trHeight w:val="209"/>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tc>
      </w:tr>
      <w:tr>
        <w:trPr>
          <w:trHeight w:val="169"/>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580" w:type="dxa"/>
            <w:vAlign w:val="bottom"/>
          </w:tcPr>
          <w:p>
            <w:pPr>
              <w:jc w:val="right"/>
              <w:ind w:right="6474"/>
              <w:spacing w:after="0"/>
              <w:rPr>
                <w:sz w:val="20"/>
                <w:szCs w:val="20"/>
                <w:color w:val="auto"/>
              </w:rPr>
            </w:pPr>
            <w:r>
              <w:rPr>
                <w:rFonts w:ascii="Arial" w:cs="Arial" w:eastAsia="Arial" w:hAnsi="Arial"/>
                <w:sz w:val="2"/>
                <w:szCs w:val="2"/>
                <w:color w:val="auto"/>
                <w:w w:val="97"/>
              </w:rPr>
              <w:t> </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CHAIR OF THE BOARD</w:t>
            </w:r>
          </w:p>
        </w:tc>
      </w:tr>
      <w:tr>
        <w:trPr>
          <w:trHeight w:val="20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9480" w:type="dxa"/>
            <w:vAlign w:val="bottom"/>
            <w:gridSpan w:val="2"/>
          </w:tcPr>
          <w:p>
            <w:pPr>
              <w:jc w:val="right"/>
              <w:ind w:right="6474"/>
              <w:spacing w:after="0" w:line="207" w:lineRule="exact"/>
              <w:rPr>
                <w:sz w:val="20"/>
                <w:szCs w:val="20"/>
                <w:color w:val="auto"/>
              </w:rPr>
            </w:pPr>
            <w:r>
              <w:rPr>
                <w:rFonts w:ascii="Arial" w:cs="Arial" w:eastAsia="Arial" w:hAnsi="Arial"/>
                <w:sz w:val="4"/>
                <w:szCs w:val="4"/>
                <w:color w:val="auto"/>
                <w:w w:val="97"/>
              </w:rPr>
              <w:t>​</w:t>
            </w:r>
            <w:r>
              <w:rPr>
                <w:rFonts w:ascii="Arial" w:cs="Arial" w:eastAsia="Arial" w:hAnsi="Arial"/>
                <w:sz w:val="3"/>
                <w:szCs w:val="3"/>
                <w:color w:val="auto"/>
                <w:w w:val="97"/>
              </w:rPr>
              <w:t xml:space="preserve">​  </w:t>
            </w:r>
            <w:r>
              <w:rPr>
                <w:rFonts w:ascii="Arial" w:cs="Arial" w:eastAsia="Arial" w:hAnsi="Arial"/>
                <w:sz w:val="24"/>
                <w:szCs w:val="24"/>
                <w:b w:val="1"/>
                <w:bCs w:val="1"/>
                <w:color w:val="auto"/>
                <w:w w:val="97"/>
                <w:vertAlign w:val="superscript"/>
              </w:rPr>
              <w:t xml:space="preserve"> </w:t>
            </w:r>
          </w:p>
        </w:tc>
      </w:tr>
      <w:tr>
        <w:trPr>
          <w:trHeight w:val="191"/>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board of directors and our Chief Executive Officer since June 2007. Mr. Houston also</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currently serves as a member of the board of directors of Meta Platforms, Inc. Mr. Houston</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holds a B.S. in Electrical Engineering and Computer Science from the Massachusetts</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Institute of Technology. Mr. Houston was selected to serve on our board of directors</w:t>
            </w:r>
          </w:p>
        </w:tc>
      </w:tr>
      <w:tr>
        <w:trPr>
          <w:trHeight w:val="189"/>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because of the perspective and experience he brings as our Chief Executive Officer and as</w:t>
            </w:r>
          </w:p>
        </w:tc>
      </w:tr>
      <w:tr>
        <w:trPr>
          <w:trHeight w:val="195"/>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one of our co-founders.</w:t>
            </w:r>
          </w:p>
        </w:tc>
      </w:tr>
      <w:tr>
        <w:trPr>
          <w:trHeight w:val="257"/>
        </w:trPr>
        <w:tc>
          <w:tcPr>
            <w:tcW w:w="40" w:type="dxa"/>
            <w:vAlign w:val="bottom"/>
          </w:tcPr>
          <w:p>
            <w:pPr>
              <w:spacing w:after="0"/>
              <w:rPr>
                <w:sz w:val="22"/>
                <w:szCs w:val="22"/>
                <w:color w:val="auto"/>
              </w:rPr>
            </w:pPr>
          </w:p>
        </w:tc>
        <w:tc>
          <w:tcPr>
            <w:tcW w:w="9480" w:type="dxa"/>
            <w:vAlign w:val="bottom"/>
            <w:gridSpan w:val="2"/>
          </w:tcPr>
          <w:p>
            <w:pPr>
              <w:jc w:val="right"/>
              <w:ind w:right="9334"/>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-2018665</wp:posOffset>
            </wp:positionV>
            <wp:extent cx="1739900" cy="1894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1763" w:lineRule="exact"/>
        <w:rPr>
          <w:sz w:val="20"/>
          <w:szCs w:val="20"/>
          <w:color w:val="auto"/>
        </w:rPr>
      </w:pPr>
    </w:p>
    <w:p>
      <w:pPr>
        <w:sectPr>
          <w:pgSz w:w="11900" w:h="16838" w:orient="portrait"/>
          <w:cols w:equalWidth="0" w:num="2">
            <w:col w:w="10240" w:space="0"/>
            <w:col w:w="780"/>
          </w:cols>
          <w:pgMar w:left="440" w:top="265" w:right="439" w:bottom="1440" w:gutter="0" w:footer="0" w:header="0"/>
          <w:type w:val="continuous"/>
        </w:sectPr>
      </w:pPr>
    </w:p>
    <w:p>
      <w:pPr>
        <w:ind w:left="720"/>
        <w:spacing w:after="0"/>
        <w:tabs>
          <w:tab w:leader="none" w:pos="3560" w:val="left"/>
          <w:tab w:leader="none" w:pos="3620" w:val="left"/>
          <w:tab w:leader="none" w:pos="10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7980" w:type="dxa"/>
            <w:vAlign w:val="bottom"/>
            <w:gridSpan w:val="2"/>
          </w:tcPr>
          <w:p>
            <w:pPr>
              <w:ind w:left="1360"/>
              <w:spacing w:after="0"/>
              <w:rPr>
                <w:sz w:val="20"/>
                <w:szCs w:val="20"/>
                <w:color w:val="auto"/>
              </w:rPr>
            </w:pPr>
            <w:r>
              <w:rPr>
                <w:rFonts w:ascii="Arial" w:cs="Arial" w:eastAsia="Arial" w:hAnsi="Arial"/>
                <w:sz w:val="4"/>
                <w:szCs w:val="4"/>
                <w:color w:val="auto"/>
                <w:w w:val="98"/>
              </w:rPr>
              <w:t xml:space="preserve">​​  </w:t>
            </w:r>
            <w:r>
              <w:rPr>
                <w:rFonts w:ascii="Arial" w:cs="Arial" w:eastAsia="Arial" w:hAnsi="Arial"/>
                <w:sz w:val="16"/>
                <w:szCs w:val="16"/>
                <w:b w:val="1"/>
                <w:bCs w:val="1"/>
                <w:color w:val="0063A6"/>
                <w:w w:val="98"/>
              </w:rPr>
              <w:t>DONALDW. BLAIR</w:t>
            </w:r>
          </w:p>
        </w:tc>
        <w:tc>
          <w:tcPr>
            <w:tcW w:w="40" w:type="dxa"/>
            <w:vAlign w:val="bottom"/>
          </w:tcPr>
          <w:p>
            <w:pPr>
              <w:spacing w:after="0"/>
              <w:rPr>
                <w:sz w:val="18"/>
                <w:szCs w:val="18"/>
                <w:color w:val="auto"/>
              </w:rPr>
            </w:pPr>
          </w:p>
        </w:tc>
        <w:tc>
          <w:tcPr>
            <w:tcW w:w="780" w:type="dxa"/>
            <w:vAlign w:val="bottom"/>
          </w:tcPr>
          <w:p>
            <w:pPr>
              <w:jc w:val="center"/>
              <w:ind w:right="74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LEAD INDEPENDENT DIRECTOR</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Blair has served as a member of our Board of Directors since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8800" w:type="dxa"/>
            <w:vAlign w:val="bottom"/>
            <w:gridSpan w:val="4"/>
          </w:tcPr>
          <w:p>
            <w:pPr>
              <w:ind w:left="1360"/>
              <w:spacing w:after="0"/>
              <w:rPr>
                <w:sz w:val="20"/>
                <w:szCs w:val="20"/>
                <w:color w:val="auto"/>
              </w:rPr>
            </w:pPr>
            <w:r>
              <w:rPr>
                <w:rFonts w:ascii="Arial" w:cs="Arial" w:eastAsia="Arial" w:hAnsi="Arial"/>
                <w:sz w:val="4"/>
                <w:szCs w:val="4"/>
                <w:color w:val="auto"/>
              </w:rPr>
              <w:t>​</w:t>
            </w:r>
            <w:r>
              <w:rPr>
                <w:rFonts w:ascii="Arial" w:cs="Arial" w:eastAsia="Arial" w:hAnsi="Arial"/>
                <w:sz w:val="7"/>
                <w:szCs w:val="7"/>
                <w:color w:val="auto"/>
                <w:vertAlign w:val="subscript"/>
              </w:rPr>
              <w:t xml:space="preserve">​  </w:t>
            </w:r>
            <w:r>
              <w:rPr>
                <w:rFonts w:ascii="Arial" w:cs="Arial" w:eastAsia="Arial" w:hAnsi="Arial"/>
                <w:sz w:val="16"/>
                <w:szCs w:val="16"/>
                <w:color w:val="auto"/>
              </w:rPr>
              <w:t>December 2017. From November 1999 to October 2015, Mr. Blair served as Executive Vice</w:t>
            </w:r>
            <w:r>
              <w:rPr>
                <w:rFonts w:ascii="Arial" w:cs="Arial" w:eastAsia="Arial" w:hAnsi="Arial"/>
                <w:sz w:val="7"/>
                <w:szCs w:val="7"/>
                <w:color w:val="auto"/>
              </w:rPr>
              <w:t xml:space="preserve"> </w:t>
            </w:r>
            <w:r>
              <w:rPr>
                <w:rFonts w:ascii="Arial" w:cs="Arial" w:eastAsia="Arial" w:hAnsi="Arial"/>
                <w:sz w:val="7"/>
                <w:szCs w:val="7"/>
                <w:color w:val="auto"/>
                <w:vertAlign w:val="subscript"/>
              </w:rPr>
              <w:t>​</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President and Chief Financial Officer for NIKE, Inc., or NIKE, a global footwear and apparel</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company. Prior to joining NIKE, for fifteen years, Mr. Blair served in a number of senior</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executive-level corporate and operating unit financial assignments for PepsiCo, Inc., or</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PepsiCo, a food and beverage company, including Chief Financial Officer for PepsiCo</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Japan (based in Tokyo) and Pepsi-Cola International’s Asia Division (based in Hong Kong).</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Mr. Blair currently serves as a member of the board of directors for Corning Incorporated, a</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40" w:type="dxa"/>
            <w:vAlign w:val="bottom"/>
            <w:vMerge w:val="restart"/>
          </w:tcPr>
          <w:p>
            <w:pPr>
              <w:spacing w:after="0"/>
              <w:rPr>
                <w:sz w:val="20"/>
                <w:szCs w:val="20"/>
                <w:color w:val="auto"/>
              </w:rPr>
            </w:pPr>
            <w:r>
              <w:rPr>
                <w:rFonts w:ascii="Arial" w:cs="Arial" w:eastAsia="Arial" w:hAnsi="Arial"/>
                <w:sz w:val="16"/>
                <w:szCs w:val="16"/>
                <w:color w:val="auto"/>
              </w:rPr>
              <w:t>global manufacturing company. Mr. Blair holds an M.B.A. and a B.S. in Economics from the</w:t>
            </w: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University of Pennsylvania. Mr. Blair was selected to serve on our board of directors</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because of his extensive financial expertise, and business management and governance</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experience.</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20"/>
                <w:szCs w:val="20"/>
                <w:color w:val="auto"/>
              </w:rPr>
            </w:pPr>
          </w:p>
        </w:tc>
        <w:tc>
          <w:tcPr>
            <w:tcW w:w="7980" w:type="dxa"/>
            <w:vAlign w:val="bottom"/>
            <w:gridSpan w:val="2"/>
          </w:tcPr>
          <w:p>
            <w:pPr>
              <w:ind w:left="13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40" w:type="dxa"/>
            <w:vAlign w:val="bottom"/>
          </w:tcPr>
          <w:p>
            <w:pPr>
              <w:spacing w:after="0"/>
              <w:rPr>
                <w:sz w:val="20"/>
                <w:szCs w:val="20"/>
                <w:color w:val="auto"/>
              </w:rPr>
            </w:pPr>
          </w:p>
        </w:tc>
        <w:tc>
          <w:tcPr>
            <w:tcW w:w="780" w:type="dxa"/>
            <w:vAlign w:val="bottom"/>
          </w:tcPr>
          <w:p>
            <w:pPr>
              <w:jc w:val="center"/>
              <w:ind w:right="74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32"/>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p>
        </w:tc>
        <w:tc>
          <w:tcPr>
            <w:tcW w:w="820" w:type="dxa"/>
            <w:vAlign w:val="bottom"/>
            <w:gridSpan w:val="2"/>
          </w:tcPr>
          <w:p>
            <w:pPr>
              <w:jc w:val="center"/>
              <w:ind w:right="682"/>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-3060065</wp:posOffset>
            </wp:positionV>
            <wp:extent cx="1739900" cy="1894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58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ectPr>
          <w:pgSz w:w="11900" w:h="16838" w:orient="portrait"/>
          <w:cols w:equalWidth="0" w:num="1">
            <w:col w:w="9540"/>
          </w:cols>
          <w:pgMar w:left="1160" w:top="265" w:right="119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0063A6"/>
              </w:rPr>
              <w:t>LISACAMPBELL</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Nominating &amp; Corporate Governance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 since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August 2019. Since July 2021, Ms. Campbell has served as Chief Marketing Officer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Partner for OneTrust. From August 2017 to July 2021, Ms. Campbell served as Chief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color w:val="auto"/>
              </w:rPr>
              <w:t>MarketingOfficer and Senior Vice President of Business Strategy for Autodesk, Inc. From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January 2015 to August 2017, Ms. Campbell served as Vice President, Industry Strategy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and Marketing – Manufacturing at Autodesk, and she served as its Vice President, Industry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Strategy and Marketing – Architecture, Engineering and Construction from February 2012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through January 2015. She has also held other senior positions at Autodesk, including</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80" w:type="dxa"/>
            <w:vAlign w:val="bottom"/>
            <w:vMerge w:val="restart"/>
          </w:tcPr>
          <w:p>
            <w:pPr>
              <w:spacing w:after="0"/>
              <w:rPr>
                <w:sz w:val="20"/>
                <w:szCs w:val="20"/>
                <w:color w:val="auto"/>
              </w:rPr>
            </w:pPr>
            <w:r>
              <w:rPr>
                <w:rFonts w:ascii="Arial" w:cs="Arial" w:eastAsia="Arial" w:hAnsi="Arial"/>
                <w:sz w:val="16"/>
                <w:szCs w:val="16"/>
                <w:color w:val="auto"/>
              </w:rPr>
              <w:t>managing its Global eCommerce business and Autodesk.com, and managing its Geospatial</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Business and infrastructure business. Prior to joining Autodesk in 2003, Ms. Campbell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served in executive-level marketing positions at Evolve (now Oracle), Sterling Software Inc.,</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and Digital Equipment Corporation. Ms. Campbell holds an M.B.A. from Babson College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and a B.A. in Mathematics and Computer Science from Boston College. She was selected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to serve on our board of directors because of her valuable expertise in business, industry,</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and marketing strategy.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-2816225</wp:posOffset>
            </wp:positionV>
            <wp:extent cx="1739900" cy="1894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384" w:lineRule="exact"/>
        <w:rPr>
          <w:sz w:val="20"/>
          <w:szCs w:val="20"/>
          <w:color w:val="auto"/>
        </w:rPr>
      </w:pPr>
    </w:p>
    <w:p>
      <w:pPr>
        <w:sectPr>
          <w:pgSz w:w="11900" w:h="16838" w:orient="portrait"/>
          <w:cols w:equalWidth="0" w:num="2">
            <w:col w:w="9520" w:space="0"/>
            <w:col w:w="20"/>
          </w:cols>
          <w:pgMar w:left="1160" w:top="265" w:right="1199" w:bottom="1440" w:gutter="0" w:footer="0" w:header="0"/>
          <w:type w:val="continuous"/>
        </w:sectPr>
      </w:pPr>
    </w:p>
    <w:p>
      <w:pPr>
        <w:spacing w:after="0"/>
        <w:tabs>
          <w:tab w:leader="none" w:pos="2840" w:val="left"/>
          <w:tab w:leader="none" w:pos="29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0063A6"/>
              </w:rPr>
              <w:t>PAULE. JACOBS, Ph.D</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April 2016. Since April 2018, Dr. Jacobs has served as Chair and Chief Executive Officer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w:t>
            </w:r>
            <w:r>
              <w:rPr>
                <w:rFonts w:ascii="Arial" w:cs="Arial" w:eastAsia="Arial" w:hAnsi="Arial"/>
                <w:sz w:val="7"/>
                <w:szCs w:val="7"/>
                <w:color w:val="auto"/>
                <w:vertAlign w:val="subscript"/>
              </w:rPr>
              <w:t xml:space="preserve">​  </w:t>
            </w:r>
            <w:r>
              <w:rPr>
                <w:rFonts w:ascii="Arial" w:cs="Arial" w:eastAsia="Arial" w:hAnsi="Arial"/>
                <w:sz w:val="16"/>
                <w:szCs w:val="16"/>
                <w:color w:val="auto"/>
              </w:rPr>
              <w:t>XCOM Labs, Inc., a wireless technology company, and since January 2021, Dr. Jacobs has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served as CEO and as a member of the board of directors of Jaws Juggernaut Acquisition</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Corporation, a special purpose acquisition company. From March 2014 to March 2018,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Dr. Jacobs served as Executive Chair for Qualcomm Incorporated, a semiconductor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telecommunications equipment company, or Qualcomm. From March 2009 to March 2018,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Dr. Jacobs served as Chair of the board of directors for Qualcomm. From July 2005 to</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80" w:type="dxa"/>
            <w:vAlign w:val="bottom"/>
            <w:vMerge w:val="restart"/>
          </w:tcPr>
          <w:p>
            <w:pPr>
              <w:spacing w:after="0"/>
              <w:rPr>
                <w:sz w:val="20"/>
                <w:szCs w:val="20"/>
                <w:color w:val="auto"/>
              </w:rPr>
            </w:pPr>
            <w:r>
              <w:rPr>
                <w:rFonts w:ascii="Arial" w:cs="Arial" w:eastAsia="Arial" w:hAnsi="Arial"/>
                <w:sz w:val="16"/>
                <w:szCs w:val="16"/>
                <w:color w:val="auto"/>
              </w:rPr>
              <w:t>March 2014, Dr. Jacobs served as Chief Executive Officer for Qualcomm. Dr. Jacobs also</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currently serves as a member of the board of directors for a number of private companies.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Dr. Jacobs holds a Ph.D. in Electrical Engineering and Computer Science, an M.S. in</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Electrical Engineering, and a B.S. in Electrical Engineering and Computer Science from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University of California, Berkeley. Dr. Jacobs was selected to serve on our board of</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directors because of his extensive business, operations, and management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-2696210</wp:posOffset>
            </wp:positionV>
            <wp:extent cx="1739900" cy="1894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289" w:lineRule="exact"/>
        <w:rPr>
          <w:sz w:val="20"/>
          <w:szCs w:val="20"/>
          <w:color w:val="auto"/>
        </w:rPr>
      </w:pPr>
    </w:p>
    <w:p>
      <w:pPr>
        <w:sectPr>
          <w:pgSz w:w="11900" w:h="16838" w:orient="portrait"/>
          <w:cols w:equalWidth="0" w:num="2">
            <w:col w:w="9520" w:space="0"/>
            <w:col w:w="20"/>
          </w:cols>
          <w:pgMar w:left="1160" w:top="265" w:right="1199" w:bottom="1440" w:gutter="0" w:footer="0" w:header="0"/>
          <w:type w:val="continuous"/>
        </w:sectPr>
      </w:pPr>
    </w:p>
    <w:p>
      <w:pPr>
        <w:spacing w:after="0"/>
        <w:tabs>
          <w:tab w:leader="none" w:pos="2840" w:val="left"/>
          <w:tab w:leader="none" w:pos="2900" w:val="left"/>
          <w:tab w:leader="none" w:pos="95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4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 xml:space="preserve">8       </w:t>
      </w:r>
      <w:r>
        <w:rPr>
          <w:rFonts w:ascii="Arial" w:cs="Arial" w:eastAsia="Arial" w:hAnsi="Arial"/>
          <w:sz w:val="14"/>
          <w:szCs w:val="14"/>
          <w:b w:val="1"/>
          <w:bCs w:val="1"/>
          <w:color w:val="0063A6"/>
        </w:rPr>
        <w:tab/>
        <w:t xml:space="preserve">Dropbox, Inc.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type w:val="continuous"/>
        </w:sectPr>
      </w:pPr>
    </w:p>
    <w:bookmarkStart w:id="12" w:name="page13"/>
    <w:bookmarkEnd w:id="12"/>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right="134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32"/>
          <w:szCs w:val="32"/>
          <w:color w:val="auto"/>
        </w:rPr>
        <w:t> </w:t>
      </w:r>
    </w:p>
    <w:p>
      <w:pPr>
        <w:sectPr>
          <w:pgSz w:w="11900" w:h="16838" w:orient="portrait"/>
          <w:cols w:equalWidth="0" w:num="1">
            <w:col w:w="11020"/>
          </w:cols>
          <w:pgMar w:left="440" w:top="265" w:right="439" w:bottom="1440" w:gutter="0" w:footer="0" w:header="0"/>
        </w:sectPr>
      </w:pPr>
    </w:p>
    <w:p>
      <w:pPr>
        <w:spacing w:after="0" w:line="94"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w w:val="99"/>
              </w:rPr>
              <w:t xml:space="preserve">​​  </w:t>
            </w:r>
            <w:r>
              <w:rPr>
                <w:rFonts w:ascii="Arial" w:cs="Arial" w:eastAsia="Arial" w:hAnsi="Arial"/>
                <w:sz w:val="16"/>
                <w:szCs w:val="16"/>
                <w:b w:val="1"/>
                <w:bCs w:val="1"/>
                <w:color w:val="0063A6"/>
                <w:w w:val="99"/>
              </w:rPr>
              <w:t>SARAMATHEW</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Talent and 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Mathew has served as a member of our board of directors since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July 2021. From January 2010 to October 2013, Ms. Mathew served as Chief Executive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Officer of Dun and Bradstreet Corporation, or Dun and Bradstreet, a commercial data</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analytics company, as its President and Chief Operating Officer from March 2007 to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January 2010 and as its Chief Financial Officer from August 2001 to March 2007.</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Ms. Mathew also served as a member of the board of directors of Dun and Bradstreet from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color w:val="auto"/>
              </w:rPr>
              <w:t>January2008 to October 2013, including as Chair from July 2010 to October 2013. Prior to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joining Dun and Bradstreet, Ms. Mathew served for eighteen years in a number of</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80" w:type="dxa"/>
            <w:vAlign w:val="bottom"/>
            <w:vMerge w:val="restart"/>
          </w:tcPr>
          <w:p>
            <w:pPr>
              <w:spacing w:after="0"/>
              <w:rPr>
                <w:sz w:val="20"/>
                <w:szCs w:val="20"/>
                <w:color w:val="auto"/>
              </w:rPr>
            </w:pPr>
            <w:r>
              <w:rPr>
                <w:rFonts w:ascii="Arial" w:cs="Arial" w:eastAsia="Arial" w:hAnsi="Arial"/>
                <w:sz w:val="16"/>
                <w:szCs w:val="16"/>
                <w:color w:val="auto"/>
              </w:rPr>
              <w:t>executive-level finance positions for the Procter &amp; Gamble Company, or P&amp;G, a consumer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goods company. Ms. Mathew currently serves as the non-executive Chair of the board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directors for the Federal Home Loan Mortgage Company, a government-sponsored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mortgage securitization company. Ms. Mathew also serves as a member of the board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directors for Carnival Corporation &amp; plc, a global leisure travel company and State Street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Corporation, a financial services company. Ms. Mathew previously served as a member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the board of directors of XOS, Inc., a manufacturer of electric trucks, Reckitt Benckiser, a</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consumer products company, Avon Products, Inc. a beauty, household and personal care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products manufacturer, Campbell Soup Company, Inc., a consumer food company,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Shire PLC, a biopharmaceutical company. Ms. Mathew holds an M.B.A. from Xavier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University and a B.S. in physics, mathematics and chemistry from the University of Madras.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Ms. Mathew was selected to serve on our board of directors because of her experience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leading multi-national enterprises and valuable financial, strategy and operational expertise.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-3536315</wp:posOffset>
            </wp:positionV>
            <wp:extent cx="1739900" cy="1894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951" w:lineRule="exact"/>
        <w:rPr>
          <w:sz w:val="20"/>
          <w:szCs w:val="20"/>
          <w:color w:val="auto"/>
        </w:rPr>
      </w:pPr>
    </w:p>
    <w:p>
      <w:pPr>
        <w:sectPr>
          <w:pgSz w:w="11900" w:h="16838" w:orient="portrait"/>
          <w:cols w:equalWidth="0" w:num="2">
            <w:col w:w="10240" w:space="0"/>
            <w:col w:w="780"/>
          </w:cols>
          <w:pgMar w:left="440" w:top="265" w:right="439" w:bottom="1440" w:gutter="0" w:footer="0" w:header="0"/>
          <w:type w:val="continuous"/>
        </w:sectPr>
      </w:pPr>
    </w:p>
    <w:p>
      <w:pPr>
        <w:ind w:left="720"/>
        <w:spacing w:after="0"/>
        <w:tabs>
          <w:tab w:leader="none" w:pos="3560" w:val="left"/>
          <w:tab w:leader="none" w:pos="3620" w:val="left"/>
          <w:tab w:leader="none" w:pos="10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798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0063A6"/>
              </w:rPr>
              <w:t>ABHAYPARASNIS</w:t>
            </w:r>
          </w:p>
        </w:tc>
        <w:tc>
          <w:tcPr>
            <w:tcW w:w="40" w:type="dxa"/>
            <w:vAlign w:val="bottom"/>
          </w:tcPr>
          <w:p>
            <w:pPr>
              <w:spacing w:after="0"/>
              <w:rPr>
                <w:sz w:val="18"/>
                <w:szCs w:val="18"/>
                <w:color w:val="auto"/>
              </w:rPr>
            </w:pPr>
          </w:p>
        </w:tc>
        <w:tc>
          <w:tcPr>
            <w:tcW w:w="780" w:type="dxa"/>
            <w:vAlign w:val="bottom"/>
          </w:tcPr>
          <w:p>
            <w:pPr>
              <w:jc w:val="center"/>
              <w:ind w:right="74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48</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4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 </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Parasnis has served as a member of our board of directors since March</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2022. Since May 2022, Mr. Parasnis has served as Chief Executive officer of Typeface Inc.,</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798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color w:val="auto"/>
              </w:rPr>
              <w:t>acompany that provides enterprise AI solutions. From July 2015 to February 2022,</w:t>
            </w:r>
          </w:p>
        </w:tc>
        <w:tc>
          <w:tcPr>
            <w:tcW w:w="40" w:type="dxa"/>
            <w:vAlign w:val="bottom"/>
          </w:tcPr>
          <w:p>
            <w:pPr>
              <w:spacing w:after="0"/>
              <w:rPr>
                <w:sz w:val="16"/>
                <w:szCs w:val="16"/>
                <w:color w:val="auto"/>
              </w:rPr>
            </w:pPr>
          </w:p>
        </w:tc>
        <w:tc>
          <w:tcPr>
            <w:tcW w:w="780" w:type="dxa"/>
            <w:vAlign w:val="bottom"/>
          </w:tcPr>
          <w:p>
            <w:pPr>
              <w:jc w:val="center"/>
              <w:ind w:right="74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Mr. Parasnis served as Chief Technology Officer of Adobe Inc., during which time</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Mr. Parasnis also held additional titles, including Executive Vice President from</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January 2016 to February 2022, Chief Strategy Officer from February 2020 to December</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2020, and Chief Product Officer from December 2020 to February 2022. Prior to joining</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Adobe, Mr. Parasnis served in executive level positions with Kony, Inc., Oracle Corporation</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40" w:type="dxa"/>
            <w:vAlign w:val="bottom"/>
            <w:vMerge w:val="restart"/>
          </w:tcPr>
          <w:p>
            <w:pPr>
              <w:spacing w:after="0"/>
              <w:rPr>
                <w:sz w:val="20"/>
                <w:szCs w:val="20"/>
                <w:color w:val="auto"/>
              </w:rPr>
            </w:pPr>
            <w:r>
              <w:rPr>
                <w:rFonts w:ascii="Arial" w:cs="Arial" w:eastAsia="Arial" w:hAnsi="Arial"/>
                <w:sz w:val="16"/>
                <w:szCs w:val="16"/>
                <w:color w:val="auto"/>
              </w:rPr>
              <w:t>and Microsoft Corporation. Mr. Parasnis holds a B.S. in Electronics &amp; Telecommunications</w:t>
            </w: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from the College of Engineering Pune in Pune, India and an Advanced Diploma in</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Computer Science from the National Institute of Information Technology. Mr. Parasnis was</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selected to serve on our board of directors because of his extensive technical, product, and</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operational expertise and his experience leading and growing a multi-product portfolio.</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0" w:type="dxa"/>
            <w:vAlign w:val="bottom"/>
          </w:tcPr>
          <w:p>
            <w:pPr>
              <w:ind w:left="720"/>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20"/>
                <w:szCs w:val="20"/>
                <w:color w:val="auto"/>
              </w:rPr>
            </w:pPr>
          </w:p>
        </w:tc>
        <w:tc>
          <w:tcPr>
            <w:tcW w:w="7980" w:type="dxa"/>
            <w:vAlign w:val="bottom"/>
            <w:gridSpan w:val="2"/>
          </w:tcPr>
          <w:p>
            <w:pPr>
              <w:ind w:left="13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40" w:type="dxa"/>
            <w:vAlign w:val="bottom"/>
          </w:tcPr>
          <w:p>
            <w:pPr>
              <w:spacing w:after="0"/>
              <w:rPr>
                <w:sz w:val="20"/>
                <w:szCs w:val="20"/>
                <w:color w:val="auto"/>
              </w:rPr>
            </w:pPr>
          </w:p>
        </w:tc>
        <w:tc>
          <w:tcPr>
            <w:tcW w:w="780" w:type="dxa"/>
            <w:vAlign w:val="bottom"/>
          </w:tcPr>
          <w:p>
            <w:pPr>
              <w:jc w:val="center"/>
              <w:ind w:right="74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32"/>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p>
        </w:tc>
        <w:tc>
          <w:tcPr>
            <w:tcW w:w="820" w:type="dxa"/>
            <w:vAlign w:val="bottom"/>
            <w:gridSpan w:val="2"/>
          </w:tcPr>
          <w:p>
            <w:pPr>
              <w:jc w:val="center"/>
              <w:ind w:right="682"/>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-3180080</wp:posOffset>
            </wp:positionV>
            <wp:extent cx="1739900" cy="1894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58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ectPr>
          <w:pgSz w:w="11900" w:h="16838" w:orient="portrait"/>
          <w:cols w:equalWidth="0" w:num="1">
            <w:col w:w="9540"/>
          </w:cols>
          <w:pgMar w:left="1160" w:top="265" w:right="119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0063A6"/>
              </w:rPr>
              <w:t>KARENPEACOCK</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August 2019. From July 2020 to October 2022, Ms. Peacock served as Chief Executive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Officer for Intercom, Inc., or Intercom, a corporation that develops and markets business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6"/>
                <w:szCs w:val="16"/>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color w:val="auto"/>
              </w:rPr>
              <w:t>messagingand communication software, and from May 2017 to July 2020, Ms. Peacock</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served as Chief Operating Officer for Intercom. From January 2016 to March 2017,</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Ms. Peacock served as Senior Vice President, Small Business at Intuit Inc., or Intuit,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from 2014 to January 2016, she served as VP, General Manager of Intuit’s Employee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Management Solutions division. Ms. Peacock has also held other senior roles at Intuit,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80" w:type="dxa"/>
            <w:vAlign w:val="bottom"/>
            <w:vMerge w:val="restart"/>
          </w:tcPr>
          <w:p>
            <w:pPr>
              <w:spacing w:after="0"/>
              <w:rPr>
                <w:sz w:val="20"/>
                <w:szCs w:val="20"/>
                <w:color w:val="auto"/>
              </w:rPr>
            </w:pPr>
            <w:r>
              <w:rPr>
                <w:rFonts w:ascii="Arial" w:cs="Arial" w:eastAsia="Arial" w:hAnsi="Arial"/>
                <w:sz w:val="16"/>
                <w:szCs w:val="16"/>
                <w:color w:val="auto"/>
              </w:rPr>
              <w:t>including Vice President of Marketing and Product Management. Prior to joining Intuit in</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2002, Ms. Peacock was Director of Product Management at Allegis Corporation and prior to</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that, was a management consultant with the Boston Consulting Group. Ms. Peacock holds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 M.B.A. from Stanford Graduate School of Business and a B.A. in Applied Mathematics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from Harvard University. She was selected to serve on our board of directors because of</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her valuable expertise in business, industry, and her extensive experience in executive-level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operational roles.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-2816225</wp:posOffset>
            </wp:positionV>
            <wp:extent cx="1739900" cy="1894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384" w:lineRule="exact"/>
        <w:rPr>
          <w:sz w:val="20"/>
          <w:szCs w:val="20"/>
          <w:color w:val="auto"/>
        </w:rPr>
      </w:pPr>
    </w:p>
    <w:p>
      <w:pPr>
        <w:sectPr>
          <w:pgSz w:w="11900" w:h="16838" w:orient="portrait"/>
          <w:cols w:equalWidth="0" w:num="2">
            <w:col w:w="9520" w:space="0"/>
            <w:col w:w="20"/>
          </w:cols>
          <w:pgMar w:left="1160" w:top="265" w:right="1199" w:bottom="1440" w:gutter="0" w:footer="0" w:header="0"/>
          <w:type w:val="continuous"/>
        </w:sectPr>
      </w:pPr>
    </w:p>
    <w:p>
      <w:pPr>
        <w:spacing w:after="0"/>
        <w:tabs>
          <w:tab w:leader="none" w:pos="2840" w:val="left"/>
          <w:tab w:leader="none" w:pos="2900" w:val="left"/>
          <w:tab w:leader="none" w:pos="95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0063A6"/>
              </w:rPr>
              <w:t>MICHAELSEIBEL</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580" w:type="dxa"/>
            <w:vAlign w:val="bottom"/>
          </w:tcPr>
          <w:p>
            <w:pPr>
              <w:spacing w:after="0" w:line="169"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18"/>
                <w:szCs w:val="18"/>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rPr>
              <w:t xml:space="preserve">​​  </w:t>
            </w:r>
            <w:r>
              <w:rPr>
                <w:rFonts w:ascii="Arial" w:cs="Arial" w:eastAsia="Arial" w:hAnsi="Arial"/>
                <w:sz w:val="16"/>
                <w:szCs w:val="16"/>
                <w:b w:val="1"/>
                <w:bCs w:val="1"/>
                <w:color w:val="auto"/>
              </w:rPr>
              <w:t>EXPERIENCE:</w:t>
            </w:r>
            <w:r>
              <w:rPr>
                <w:rFonts w:ascii="Arial" w:cs="Arial" w:eastAsia="Arial" w:hAnsi="Arial"/>
                <w:sz w:val="16"/>
                <w:szCs w:val="16"/>
                <w:color w:val="auto"/>
              </w:rPr>
              <w:t>Mr. Seibel has served as a member of our board of directors since</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December 2020. Mr. Seibel has served as a Partner at Y Combinator, an accelerator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investment company for early-stage technology companies since October 2014 and is also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currently the Managing Director of YC Early Stage. From February 2012 to August 2012,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Mr. Seibel served as Chief Executive Officer of Socialcam, Inc., a social media company,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and from June 2007 to October 2011, Mr. Seibel served as Chief Executive Officer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Justin.tv (now known as Twitch.tv), an online video broadcasting company. Mr. Seibel holds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a B.A. in Political Science from Yale University. Mr. Seibel was selected to serve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6580" w:type="dxa"/>
            <w:vAlign w:val="bottom"/>
            <w:vMerge w:val="restart"/>
          </w:tcPr>
          <w:p>
            <w:pPr>
              <w:spacing w:after="0"/>
              <w:rPr>
                <w:sz w:val="20"/>
                <w:szCs w:val="20"/>
                <w:color w:val="auto"/>
              </w:rPr>
            </w:pPr>
            <w:r>
              <w:rPr>
                <w:rFonts w:ascii="Arial" w:cs="Arial" w:eastAsia="Arial" w:hAnsi="Arial"/>
                <w:sz w:val="16"/>
                <w:szCs w:val="16"/>
                <w:color w:val="auto"/>
              </w:rPr>
              <w:t>board of directors because of his financial and managerial experience.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460" w:type="dxa"/>
            <w:vAlign w:val="bottom"/>
          </w:tcPr>
          <w:p>
            <w:pPr>
              <w:spacing w:after="0"/>
              <w:rPr>
                <w:sz w:val="20"/>
                <w:szCs w:val="20"/>
                <w:color w:val="auto"/>
              </w:rPr>
            </w:pPr>
          </w:p>
        </w:tc>
        <w:tc>
          <w:tcPr>
            <w:tcW w:w="8020" w:type="dxa"/>
            <w:vAlign w:val="bottom"/>
            <w:gridSpan w:val="2"/>
          </w:tcPr>
          <w:p>
            <w:pPr>
              <w:ind w:left="13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-2243455</wp:posOffset>
            </wp:positionV>
            <wp:extent cx="1739900" cy="1894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9900" cy="18942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type w:val="continuous"/>
        </w:sectPr>
      </w:pPr>
    </w:p>
    <w:bookmarkStart w:id="14" w:name="page15"/>
    <w:bookmarkEnd w:id="14"/>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1"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ind w:left="4"/>
        <w:spacing w:after="0"/>
        <w:rPr>
          <w:sz w:val="20"/>
          <w:szCs w:val="20"/>
          <w:color w:val="auto"/>
        </w:rPr>
      </w:pPr>
      <w:r>
        <w:rPr>
          <w:rFonts w:ascii="Arial" w:cs="Arial" w:eastAsia="Arial" w:hAnsi="Arial"/>
          <w:sz w:val="26"/>
          <w:szCs w:val="26"/>
          <w:color w:val="0063A6"/>
        </w:rPr>
        <w:t>Director Independence</w:t>
      </w:r>
    </w:p>
    <w:p>
      <w:pPr>
        <w:spacing w:after="0" w:line="169" w:lineRule="exact"/>
        <w:rPr>
          <w:sz w:val="20"/>
          <w:szCs w:val="20"/>
          <w:color w:val="auto"/>
        </w:rPr>
      </w:pPr>
    </w:p>
    <w:p>
      <w:pPr>
        <w:ind w:left="4" w:right="320"/>
        <w:spacing w:after="0" w:line="250"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49"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 Jacobs, Messrs. Blair, Parasnis and Seibel, and Mss. Campbell, Mathew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332"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169" w:lineRule="exact"/>
        <w:rPr>
          <w:sz w:val="20"/>
          <w:szCs w:val="20"/>
          <w:color w:val="auto"/>
        </w:rPr>
      </w:pPr>
    </w:p>
    <w:p>
      <w:pPr>
        <w:ind w:left="4" w:right="600"/>
        <w:spacing w:after="0" w:line="260" w:lineRule="auto"/>
        <w:rPr>
          <w:sz w:val="20"/>
          <w:szCs w:val="20"/>
          <w:color w:val="auto"/>
        </w:rPr>
      </w:pPr>
      <w:r>
        <w:rPr>
          <w:rFonts w:ascii="Arial" w:cs="Arial" w:eastAsia="Arial" w:hAnsi="Arial"/>
          <w:sz w:val="16"/>
          <w:szCs w:val="16"/>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spacing w:after="0" w:line="141"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Mr. Blair has served as our lead independent director since March 2020. As our lead independent director, Mr. Blair presides over periodic meetings of our independent directors, serves as a liaison between Mr. Houston and our independent directors, and performs such additional duties as our board of directors may otherwise determine and delegate. The lead independent director’s responsibilities include:</w:t>
      </w:r>
    </w:p>
    <w:p>
      <w:pPr>
        <w:spacing w:after="0" w:line="152" w:lineRule="exact"/>
        <w:rPr>
          <w:sz w:val="20"/>
          <w:szCs w:val="20"/>
          <w:color w:val="auto"/>
        </w:rPr>
      </w:pPr>
    </w:p>
    <w:p>
      <w:pPr>
        <w:ind w:left="284" w:hanging="284"/>
        <w:spacing w:after="0"/>
        <w:tabs>
          <w:tab w:leader="none" w:pos="284"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presiding over all meetings of the board of directors at which the chair is not present;</w:t>
      </w:r>
    </w:p>
    <w:p>
      <w:pPr>
        <w:spacing w:after="0" w:line="167" w:lineRule="exact"/>
        <w:rPr>
          <w:rFonts w:ascii="Arial" w:cs="Arial" w:eastAsia="Arial" w:hAnsi="Arial"/>
          <w:sz w:val="16"/>
          <w:szCs w:val="16"/>
          <w:color w:val="0063A6"/>
        </w:rPr>
      </w:pPr>
    </w:p>
    <w:p>
      <w:pPr>
        <w:ind w:left="284" w:right="800" w:hanging="284"/>
        <w:spacing w:after="0" w:line="260" w:lineRule="auto"/>
        <w:tabs>
          <w:tab w:leader="none" w:pos="284"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calling separate meetings of the independent directors and determining the agenda and serving as chair of meetings of independent directors;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reporting to our Chief Executive Officer and chair regarding feedback from executive sessions; and</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serving as spokesperson for the company if requested.</w:t>
      </w:r>
    </w:p>
    <w:p>
      <w:pPr>
        <w:spacing w:after="0" w:line="167"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48" w:lineRule="exact"/>
        <w:rPr>
          <w:sz w:val="20"/>
          <w:szCs w:val="20"/>
          <w:color w:val="auto"/>
        </w:rPr>
      </w:pPr>
    </w:p>
    <w:p>
      <w:pPr>
        <w:ind w:left="4" w:right="140"/>
        <w:spacing w:after="0" w:line="248"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Mr. Houston’s combined role</w:t>
      </w:r>
    </w:p>
    <w:p>
      <w:pPr>
        <w:spacing w:after="0" w:line="19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15" w:name="page16"/>
    <w:bookmarkEnd w:id="1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0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Board Committees</w:t>
      </w:r>
    </w:p>
    <w:p>
      <w:pPr>
        <w:spacing w:after="0" w:line="169"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6077585" cy="2391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7585" cy="2391410"/>
                    </a:xfrm>
                    <a:prstGeom prst="rect">
                      <a:avLst/>
                    </a:prstGeom>
                    <a:noFill/>
                  </pic:spPr>
                </pic:pic>
              </a:graphicData>
            </a:graphic>
          </wp:anchor>
        </w:drawing>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120" w:type="dxa"/>
            <w:vAlign w:val="bottom"/>
            <w:vMerge w:val="restart"/>
            <w:shd w:val="clear" w:color="auto" w:fill="0063A6"/>
          </w:tcPr>
          <w:p>
            <w:pPr>
              <w:ind w:left="840"/>
              <w:spacing w:after="0"/>
              <w:rPr>
                <w:sz w:val="20"/>
                <w:szCs w:val="20"/>
                <w:color w:val="auto"/>
              </w:rPr>
            </w:pPr>
            <w:r>
              <w:rPr>
                <w:rFonts w:ascii="Arial" w:cs="Arial" w:eastAsia="Arial" w:hAnsi="Arial"/>
                <w:sz w:val="14"/>
                <w:szCs w:val="14"/>
                <w:b w:val="1"/>
                <w:bCs w:val="1"/>
                <w:color w:val="FFFFFF"/>
              </w:rPr>
              <w:t>Director</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860" w:type="dxa"/>
            <w:vAlign w:val="bottom"/>
            <w:gridSpan w:val="2"/>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Audit</w:t>
            </w:r>
          </w:p>
        </w:tc>
        <w:tc>
          <w:tcPr>
            <w:tcW w:w="22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02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Talent and Compensation</w:t>
            </w:r>
          </w:p>
        </w:tc>
        <w:tc>
          <w:tcPr>
            <w:tcW w:w="18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Nominating and Corporate</w:t>
            </w:r>
          </w:p>
        </w:tc>
        <w:tc>
          <w:tcPr>
            <w:tcW w:w="12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9"/>
        </w:trPr>
        <w:tc>
          <w:tcPr>
            <w:tcW w:w="40" w:type="dxa"/>
            <w:vAlign w:val="bottom"/>
            <w:tcBorders>
              <w:bottom w:val="single" w:sz="8" w:color="0063A6"/>
            </w:tcBorders>
            <w:shd w:val="clear" w:color="auto" w:fill="0063A6"/>
          </w:tcPr>
          <w:p>
            <w:pPr>
              <w:spacing w:after="0"/>
              <w:rPr>
                <w:sz w:val="18"/>
                <w:szCs w:val="18"/>
                <w:color w:val="auto"/>
              </w:rPr>
            </w:pPr>
          </w:p>
        </w:tc>
        <w:tc>
          <w:tcPr>
            <w:tcW w:w="2120" w:type="dxa"/>
            <w:vAlign w:val="bottom"/>
            <w:tcBorders>
              <w:bottom w:val="single" w:sz="8" w:color="0063A6"/>
            </w:tcBorders>
            <w:vMerge w:val="continue"/>
            <w:shd w:val="clear" w:color="auto" w:fill="0063A6"/>
          </w:tcPr>
          <w:p>
            <w:pPr>
              <w:spacing w:after="0"/>
              <w:rPr>
                <w:sz w:val="18"/>
                <w:szCs w:val="18"/>
                <w:color w:val="auto"/>
              </w:rPr>
            </w:pPr>
          </w:p>
        </w:tc>
        <w:tc>
          <w:tcPr>
            <w:tcW w:w="180" w:type="dxa"/>
            <w:vAlign w:val="bottom"/>
            <w:tcBorders>
              <w:bottom w:val="single" w:sz="8" w:color="0063A6"/>
            </w:tcBorders>
            <w:shd w:val="clear" w:color="auto" w:fill="0063A6"/>
          </w:tcPr>
          <w:p>
            <w:pPr>
              <w:spacing w:after="0"/>
              <w:rPr>
                <w:sz w:val="18"/>
                <w:szCs w:val="18"/>
                <w:color w:val="auto"/>
              </w:rPr>
            </w:pPr>
          </w:p>
        </w:tc>
        <w:tc>
          <w:tcPr>
            <w:tcW w:w="340" w:type="dxa"/>
            <w:vAlign w:val="bottom"/>
            <w:tcBorders>
              <w:bottom w:val="single" w:sz="8" w:color="0063A6"/>
            </w:tcBorders>
            <w:shd w:val="clear" w:color="auto" w:fill="0063A6"/>
          </w:tcPr>
          <w:p>
            <w:pPr>
              <w:spacing w:after="0"/>
              <w:rPr>
                <w:sz w:val="18"/>
                <w:szCs w:val="18"/>
                <w:color w:val="auto"/>
              </w:rPr>
            </w:pPr>
          </w:p>
        </w:tc>
        <w:tc>
          <w:tcPr>
            <w:tcW w:w="1860" w:type="dxa"/>
            <w:vAlign w:val="bottom"/>
            <w:tcBorders>
              <w:bottom w:val="single" w:sz="8" w:color="0063A6"/>
            </w:tcBorders>
            <w:gridSpan w:val="2"/>
            <w:vMerge w:val="continue"/>
            <w:shd w:val="clear" w:color="auto" w:fill="0063A6"/>
          </w:tcPr>
          <w:p>
            <w:pPr>
              <w:spacing w:after="0"/>
              <w:rPr>
                <w:sz w:val="18"/>
                <w:szCs w:val="18"/>
                <w:color w:val="auto"/>
              </w:rPr>
            </w:pPr>
          </w:p>
        </w:tc>
        <w:tc>
          <w:tcPr>
            <w:tcW w:w="220" w:type="dxa"/>
            <w:vAlign w:val="bottom"/>
            <w:tcBorders>
              <w:bottom w:val="single" w:sz="8" w:color="0063A6"/>
            </w:tcBorders>
            <w:shd w:val="clear" w:color="auto" w:fill="0063A6"/>
          </w:tcPr>
          <w:p>
            <w:pPr>
              <w:spacing w:after="0"/>
              <w:rPr>
                <w:sz w:val="18"/>
                <w:szCs w:val="18"/>
                <w:color w:val="auto"/>
              </w:rPr>
            </w:pPr>
          </w:p>
        </w:tc>
        <w:tc>
          <w:tcPr>
            <w:tcW w:w="220" w:type="dxa"/>
            <w:vAlign w:val="bottom"/>
            <w:tcBorders>
              <w:bottom w:val="single" w:sz="8" w:color="0063A6"/>
            </w:tcBorders>
            <w:shd w:val="clear" w:color="auto" w:fill="0063A6"/>
          </w:tcPr>
          <w:p>
            <w:pPr>
              <w:spacing w:after="0"/>
              <w:rPr>
                <w:sz w:val="18"/>
                <w:szCs w:val="18"/>
                <w:color w:val="auto"/>
              </w:rPr>
            </w:pPr>
          </w:p>
        </w:tc>
        <w:tc>
          <w:tcPr>
            <w:tcW w:w="2020" w:type="dxa"/>
            <w:vAlign w:val="bottom"/>
            <w:tcBorders>
              <w:bottom w:val="single" w:sz="8" w:color="0063A6"/>
            </w:tcBorders>
            <w:vMerge w:val="continue"/>
            <w:shd w:val="clear" w:color="auto" w:fill="0063A6"/>
          </w:tcPr>
          <w:p>
            <w:pPr>
              <w:spacing w:after="0"/>
              <w:rPr>
                <w:sz w:val="18"/>
                <w:szCs w:val="18"/>
                <w:color w:val="auto"/>
              </w:rPr>
            </w:pPr>
          </w:p>
        </w:tc>
        <w:tc>
          <w:tcPr>
            <w:tcW w:w="180" w:type="dxa"/>
            <w:vAlign w:val="bottom"/>
            <w:tcBorders>
              <w:bottom w:val="single" w:sz="8" w:color="0063A6"/>
            </w:tcBorders>
            <w:shd w:val="clear" w:color="auto" w:fill="0063A6"/>
          </w:tcPr>
          <w:p>
            <w:pPr>
              <w:spacing w:after="0"/>
              <w:rPr>
                <w:sz w:val="18"/>
                <w:szCs w:val="18"/>
                <w:color w:val="auto"/>
              </w:rPr>
            </w:pPr>
          </w:p>
        </w:tc>
        <w:tc>
          <w:tcPr>
            <w:tcW w:w="200" w:type="dxa"/>
            <w:vAlign w:val="bottom"/>
            <w:tcBorders>
              <w:bottom w:val="single" w:sz="8" w:color="0063A6"/>
            </w:tcBorders>
            <w:shd w:val="clear" w:color="auto" w:fill="0063A6"/>
          </w:tcPr>
          <w:p>
            <w:pPr>
              <w:spacing w:after="0"/>
              <w:rPr>
                <w:sz w:val="18"/>
                <w:szCs w:val="18"/>
                <w:color w:val="auto"/>
              </w:rPr>
            </w:pP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Governance</w:t>
            </w:r>
          </w:p>
        </w:tc>
        <w:tc>
          <w:tcPr>
            <w:tcW w:w="120" w:type="dxa"/>
            <w:vAlign w:val="bottom"/>
            <w:tcBorders>
              <w:bottom w:val="single" w:sz="8" w:color="0063A6"/>
            </w:tcBorders>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Andrew W. Houston</w:t>
            </w:r>
          </w:p>
        </w:tc>
        <w:tc>
          <w:tcPr>
            <w:tcW w:w="1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4"/>
                <w:szCs w:val="4"/>
                <w:color w:val="auto"/>
              </w:rPr>
              <w:t>​</w:t>
            </w:r>
          </w:p>
        </w:tc>
        <w:tc>
          <w:tcPr>
            <w:tcW w:w="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F2F2F2"/>
            </w:tcBorders>
            <w:shd w:val="clear" w:color="auto" w:fill="F2F2F2"/>
          </w:tcPr>
          <w:p>
            <w:pPr>
              <w:spacing w:after="0"/>
              <w:rPr>
                <w:sz w:val="24"/>
                <w:szCs w:val="24"/>
                <w:color w:val="auto"/>
              </w:rPr>
            </w:pPr>
          </w:p>
        </w:tc>
        <w:tc>
          <w:tcPr>
            <w:tcW w:w="1020" w:type="dxa"/>
            <w:vAlign w:val="bottom"/>
            <w:tcBorders>
              <w:bottom w:val="single" w:sz="8" w:color="F2F2F2"/>
            </w:tcBorders>
            <w:shd w:val="clear" w:color="auto" w:fill="F2F2F2"/>
          </w:tcPr>
          <w:p>
            <w:pPr>
              <w:spacing w:after="0"/>
              <w:rPr>
                <w:sz w:val="24"/>
                <w:szCs w:val="24"/>
                <w:color w:val="auto"/>
              </w:rPr>
            </w:pPr>
          </w:p>
        </w:tc>
        <w:tc>
          <w:tcPr>
            <w:tcW w:w="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6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ind w:left="40"/>
              <w:spacing w:after="0"/>
              <w:rPr>
                <w:sz w:val="20"/>
                <w:szCs w:val="20"/>
                <w:color w:val="auto"/>
              </w:rPr>
            </w:pPr>
            <w:r>
              <w:rPr>
                <w:rFonts w:ascii="Arial" w:cs="Arial" w:eastAsia="Arial" w:hAnsi="Arial"/>
                <w:sz w:val="16"/>
                <w:szCs w:val="16"/>
                <w:b w:val="1"/>
                <w:bCs w:val="1"/>
                <w:color w:val="auto"/>
              </w:rPr>
              <w:t>Donald W. Blair</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ind w:left="780"/>
              <w:spacing w:after="0"/>
              <w:rPr>
                <w:sz w:val="20"/>
                <w:szCs w:val="20"/>
                <w:color w:val="auto"/>
              </w:rPr>
            </w:pPr>
            <w:r>
              <w:rPr>
                <w:rFonts w:ascii="Arial" w:cs="Arial" w:eastAsia="Arial" w:hAnsi="Arial"/>
                <w:sz w:val="5"/>
                <w:szCs w:val="5"/>
                <w:color w:val="auto"/>
                <w:w w:val="79"/>
              </w:rPr>
              <w:t> </w:t>
            </w:r>
          </w:p>
        </w:tc>
        <w:tc>
          <w:tcPr>
            <w:tcW w:w="1020" w:type="dxa"/>
            <w:vAlign w:val="bottom"/>
          </w:tcPr>
          <w:p>
            <w:pPr>
              <w:ind w:left="100"/>
              <w:spacing w:after="0"/>
              <w:rPr>
                <w:sz w:val="20"/>
                <w:szCs w:val="20"/>
                <w:color w:val="auto"/>
              </w:rPr>
            </w:pPr>
            <w:r>
              <w:rPr>
                <w:rFonts w:ascii="Arial" w:cs="Arial" w:eastAsia="Arial" w:hAnsi="Arial"/>
                <w:sz w:val="16"/>
                <w:szCs w:val="16"/>
                <w:color w:val="auto"/>
              </w:rPr>
              <w:t> </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020" w:type="dxa"/>
            <w:vAlign w:val="bottom"/>
          </w:tcPr>
          <w:p>
            <w:pPr>
              <w:spacing w:after="0"/>
              <w:rPr>
                <w:sz w:val="22"/>
                <w:szCs w:val="22"/>
                <w:color w:val="auto"/>
              </w:rPr>
            </w:pP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tcPr>
          <w:p>
            <w:pPr>
              <w:ind w:left="60"/>
              <w:spacing w:after="0"/>
              <w:rPr>
                <w:sz w:val="20"/>
                <w:szCs w:val="20"/>
                <w:color w:val="auto"/>
              </w:rPr>
            </w:pPr>
            <w:r>
              <w:rPr>
                <w:rFonts w:ascii="Arial" w:cs="Arial" w:eastAsia="Arial" w:hAnsi="Arial"/>
                <w:sz w:val="4"/>
                <w:szCs w:val="4"/>
                <w:color w:val="auto"/>
              </w:rPr>
              <w:t>​</w:t>
            </w:r>
          </w:p>
        </w:tc>
        <w:tc>
          <w:tcPr>
            <w:tcW w:w="206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Lisa Campbell</w:t>
            </w:r>
          </w:p>
        </w:tc>
        <w:tc>
          <w:tcPr>
            <w:tcW w:w="1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4"/>
                <w:szCs w:val="4"/>
                <w:color w:val="auto"/>
              </w:rPr>
              <w:t>​</w:t>
            </w:r>
          </w:p>
        </w:tc>
        <w:tc>
          <w:tcPr>
            <w:tcW w:w="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F2F2F2"/>
            </w:tcBorders>
            <w:shd w:val="clear" w:color="auto" w:fill="F2F2F2"/>
          </w:tcPr>
          <w:p>
            <w:pPr>
              <w:spacing w:after="0"/>
              <w:rPr>
                <w:sz w:val="24"/>
                <w:szCs w:val="24"/>
                <w:color w:val="auto"/>
              </w:rPr>
            </w:pPr>
          </w:p>
        </w:tc>
        <w:tc>
          <w:tcPr>
            <w:tcW w:w="1020" w:type="dxa"/>
            <w:vAlign w:val="bottom"/>
            <w:tcBorders>
              <w:bottom w:val="single" w:sz="8" w:color="F2F2F2"/>
            </w:tcBorders>
            <w:shd w:val="clear" w:color="auto" w:fill="F2F2F2"/>
          </w:tcPr>
          <w:p>
            <w:pPr>
              <w:spacing w:after="0"/>
              <w:rPr>
                <w:sz w:val="24"/>
                <w:szCs w:val="24"/>
                <w:color w:val="auto"/>
              </w:rPr>
            </w:pPr>
          </w:p>
        </w:tc>
        <w:tc>
          <w:tcPr>
            <w:tcW w:w="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6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ind w:left="40"/>
              <w:spacing w:after="0"/>
              <w:rPr>
                <w:sz w:val="20"/>
                <w:szCs w:val="20"/>
                <w:color w:val="auto"/>
              </w:rPr>
            </w:pPr>
            <w:r>
              <w:rPr>
                <w:rFonts w:ascii="Arial" w:cs="Arial" w:eastAsia="Arial" w:hAnsi="Arial"/>
                <w:sz w:val="16"/>
                <w:szCs w:val="16"/>
                <w:b w:val="1"/>
                <w:bCs w:val="1"/>
                <w:color w:val="auto"/>
              </w:rPr>
              <w:t>Paul E. Jacobs, Ph.D</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020" w:type="dxa"/>
            <w:vAlign w:val="bottom"/>
          </w:tcPr>
          <w:p>
            <w:pPr>
              <w:spacing w:after="0"/>
              <w:rPr>
                <w:sz w:val="22"/>
                <w:szCs w:val="22"/>
                <w:color w:val="auto"/>
              </w:rPr>
            </w:pP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tcPr>
          <w:p>
            <w:pPr>
              <w:ind w:left="60"/>
              <w:spacing w:after="0"/>
              <w:rPr>
                <w:sz w:val="20"/>
                <w:szCs w:val="20"/>
                <w:color w:val="auto"/>
              </w:rPr>
            </w:pPr>
            <w:r>
              <w:rPr>
                <w:rFonts w:ascii="Arial" w:cs="Arial" w:eastAsia="Arial" w:hAnsi="Arial"/>
                <w:sz w:val="4"/>
                <w:szCs w:val="4"/>
                <w:color w:val="auto"/>
              </w:rPr>
              <w:t>​</w:t>
            </w:r>
          </w:p>
        </w:tc>
        <w:tc>
          <w:tcPr>
            <w:tcW w:w="206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Sara Mathew</w:t>
            </w:r>
          </w:p>
        </w:tc>
        <w:tc>
          <w:tcPr>
            <w:tcW w:w="1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4"/>
                <w:szCs w:val="4"/>
                <w:color w:val="auto"/>
              </w:rPr>
              <w:t>​</w:t>
            </w:r>
          </w:p>
        </w:tc>
        <w:tc>
          <w:tcPr>
            <w:tcW w:w="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F2F2F2"/>
            </w:tcBorders>
            <w:shd w:val="clear" w:color="auto" w:fill="F2F2F2"/>
          </w:tcPr>
          <w:p>
            <w:pPr>
              <w:ind w:left="780"/>
              <w:spacing w:after="0"/>
              <w:rPr>
                <w:sz w:val="20"/>
                <w:szCs w:val="20"/>
                <w:color w:val="auto"/>
              </w:rPr>
            </w:pPr>
            <w:r>
              <w:rPr>
                <w:rFonts w:ascii="Arial" w:cs="Arial" w:eastAsia="Arial" w:hAnsi="Arial"/>
                <w:sz w:val="5"/>
                <w:szCs w:val="5"/>
                <w:color w:val="auto"/>
                <w:w w:val="79"/>
              </w:rPr>
              <w:t> </w:t>
            </w:r>
          </w:p>
        </w:tc>
        <w:tc>
          <w:tcPr>
            <w:tcW w:w="10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6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ind w:left="40"/>
              <w:spacing w:after="0"/>
              <w:rPr>
                <w:sz w:val="20"/>
                <w:szCs w:val="20"/>
                <w:color w:val="auto"/>
              </w:rPr>
            </w:pPr>
            <w:r>
              <w:rPr>
                <w:rFonts w:ascii="Arial" w:cs="Arial" w:eastAsia="Arial" w:hAnsi="Arial"/>
                <w:sz w:val="16"/>
                <w:szCs w:val="16"/>
                <w:b w:val="1"/>
                <w:bCs w:val="1"/>
                <w:color w:val="auto"/>
              </w:rPr>
              <w:t>Abhay Parasnis</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020" w:type="dxa"/>
            <w:vAlign w:val="bottom"/>
          </w:tcPr>
          <w:p>
            <w:pPr>
              <w:spacing w:after="0"/>
              <w:rPr>
                <w:sz w:val="22"/>
                <w:szCs w:val="22"/>
                <w:color w:val="auto"/>
              </w:rPr>
            </w:pP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tcPr>
          <w:p>
            <w:pPr>
              <w:ind w:left="60"/>
              <w:spacing w:after="0"/>
              <w:rPr>
                <w:sz w:val="20"/>
                <w:szCs w:val="20"/>
                <w:color w:val="auto"/>
              </w:rPr>
            </w:pPr>
            <w:r>
              <w:rPr>
                <w:rFonts w:ascii="Arial" w:cs="Arial" w:eastAsia="Arial" w:hAnsi="Arial"/>
                <w:sz w:val="4"/>
                <w:szCs w:val="4"/>
                <w:color w:val="auto"/>
              </w:rPr>
              <w:t>​</w:t>
            </w:r>
          </w:p>
        </w:tc>
        <w:tc>
          <w:tcPr>
            <w:tcW w:w="206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Karen Peacock</w:t>
            </w:r>
          </w:p>
        </w:tc>
        <w:tc>
          <w:tcPr>
            <w:tcW w:w="1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4"/>
                <w:szCs w:val="4"/>
                <w:color w:val="auto"/>
              </w:rPr>
              <w:t>​</w:t>
            </w:r>
          </w:p>
        </w:tc>
        <w:tc>
          <w:tcPr>
            <w:tcW w:w="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F2F2F2"/>
            </w:tcBorders>
            <w:shd w:val="clear" w:color="auto" w:fill="F2F2F2"/>
          </w:tcPr>
          <w:p>
            <w:pPr>
              <w:spacing w:after="0"/>
              <w:rPr>
                <w:sz w:val="24"/>
                <w:szCs w:val="24"/>
                <w:color w:val="auto"/>
              </w:rPr>
            </w:pPr>
          </w:p>
        </w:tc>
        <w:tc>
          <w:tcPr>
            <w:tcW w:w="1020" w:type="dxa"/>
            <w:vAlign w:val="bottom"/>
            <w:tcBorders>
              <w:bottom w:val="single" w:sz="8" w:color="F2F2F2"/>
            </w:tcBorders>
            <w:shd w:val="clear" w:color="auto" w:fill="F2F2F2"/>
          </w:tcPr>
          <w:p>
            <w:pPr>
              <w:spacing w:after="0"/>
              <w:rPr>
                <w:sz w:val="24"/>
                <w:szCs w:val="24"/>
                <w:color w:val="auto"/>
              </w:rPr>
            </w:pPr>
          </w:p>
        </w:tc>
        <w:tc>
          <w:tcPr>
            <w:tcW w:w="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6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ind w:left="40"/>
              <w:spacing w:after="0"/>
              <w:rPr>
                <w:sz w:val="20"/>
                <w:szCs w:val="20"/>
                <w:color w:val="auto"/>
              </w:rPr>
            </w:pPr>
            <w:r>
              <w:rPr>
                <w:rFonts w:ascii="Arial" w:cs="Arial" w:eastAsia="Arial" w:hAnsi="Arial"/>
                <w:sz w:val="16"/>
                <w:szCs w:val="16"/>
                <w:b w:val="1"/>
                <w:bCs w:val="1"/>
                <w:color w:val="auto"/>
              </w:rPr>
              <w:t>Michael Seibel</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020" w:type="dxa"/>
            <w:vAlign w:val="bottom"/>
          </w:tcPr>
          <w:p>
            <w:pPr>
              <w:spacing w:after="0"/>
              <w:rPr>
                <w:sz w:val="22"/>
                <w:szCs w:val="22"/>
                <w:color w:val="auto"/>
              </w:rPr>
            </w:pP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tcPr>
          <w:p>
            <w:pPr>
              <w:ind w:left="60"/>
              <w:spacing w:after="0"/>
              <w:rPr>
                <w:sz w:val="20"/>
                <w:szCs w:val="20"/>
                <w:color w:val="auto"/>
              </w:rPr>
            </w:pPr>
            <w:r>
              <w:rPr>
                <w:rFonts w:ascii="Arial" w:cs="Arial" w:eastAsia="Arial" w:hAnsi="Arial"/>
                <w:sz w:val="4"/>
                <w:szCs w:val="4"/>
                <w:color w:val="auto"/>
              </w:rPr>
              <w:t>​</w:t>
            </w:r>
          </w:p>
        </w:tc>
        <w:tc>
          <w:tcPr>
            <w:tcW w:w="206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Number of Meetings</w:t>
            </w:r>
          </w:p>
        </w:tc>
        <w:tc>
          <w:tcPr>
            <w:tcW w:w="1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4"/>
                <w:szCs w:val="4"/>
                <w:color w:val="auto"/>
              </w:rPr>
              <w:t>​</w:t>
            </w:r>
          </w:p>
        </w:tc>
        <w:tc>
          <w:tcPr>
            <w:tcW w:w="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tcBorders>
              <w:bottom w:val="single" w:sz="8" w:color="F2F2F2"/>
            </w:tcBorders>
            <w:shd w:val="clear" w:color="auto" w:fill="F2F2F2"/>
          </w:tcPr>
          <w:p>
            <w:pPr>
              <w:spacing w:after="0"/>
              <w:rPr>
                <w:sz w:val="24"/>
                <w:szCs w:val="24"/>
                <w:color w:val="auto"/>
              </w:rPr>
            </w:pPr>
          </w:p>
        </w:tc>
        <w:tc>
          <w:tcPr>
            <w:tcW w:w="1020" w:type="dxa"/>
            <w:vAlign w:val="bottom"/>
            <w:tcBorders>
              <w:bottom w:val="single" w:sz="8" w:color="F2F2F2"/>
            </w:tcBorders>
            <w:shd w:val="clear" w:color="auto" w:fill="F2F2F2"/>
          </w:tcPr>
          <w:p>
            <w:pPr>
              <w:jc w:val="right"/>
              <w:ind w:right="81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20" w:type="dxa"/>
            <w:vAlign w:val="bottom"/>
            <w:tcBorders>
              <w:bottom w:val="single" w:sz="8" w:color="F2F2F2"/>
            </w:tcBorders>
            <w:shd w:val="clear" w:color="auto" w:fill="F2F2F2"/>
          </w:tcPr>
          <w:p>
            <w:pPr>
              <w:jc w:val="right"/>
              <w:ind w:right="862"/>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4"/>
                <w:szCs w:val="4"/>
                <w:color w:val="auto"/>
              </w:rPr>
              <w:t>​</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ind w:left="360"/>
              <w:spacing w:after="0"/>
              <w:rPr>
                <w:sz w:val="20"/>
                <w:szCs w:val="20"/>
                <w:color w:val="auto"/>
              </w:rPr>
            </w:pPr>
            <w:r>
              <w:rPr>
                <w:rFonts w:ascii="Arial" w:cs="Arial" w:eastAsia="Arial" w:hAnsi="Arial"/>
                <w:sz w:val="16"/>
                <w:szCs w:val="16"/>
                <w:color w:val="auto"/>
                <w:w w:val="99"/>
              </w:rPr>
              <w:t>     Committee member</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1860" w:type="dxa"/>
            <w:vAlign w:val="bottom"/>
            <w:gridSpan w:val="2"/>
          </w:tcPr>
          <w:p>
            <w:pPr>
              <w:ind w:left="280"/>
              <w:spacing w:after="0"/>
              <w:rPr>
                <w:sz w:val="20"/>
                <w:szCs w:val="20"/>
                <w:color w:val="auto"/>
              </w:rPr>
            </w:pPr>
            <w:r>
              <w:rPr>
                <w:rFonts w:ascii="Arial" w:cs="Arial" w:eastAsia="Arial" w:hAnsi="Arial"/>
                <w:sz w:val="16"/>
                <w:szCs w:val="16"/>
                <w:color w:val="auto"/>
              </w:rPr>
              <w:t>     Committee chair</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60"/>
              <w:spacing w:after="0"/>
              <w:rPr>
                <w:sz w:val="20"/>
                <w:szCs w:val="20"/>
                <w:color w:val="auto"/>
              </w:rPr>
            </w:pPr>
            <w:r>
              <w:rPr>
                <w:rFonts w:ascii="Arial" w:cs="Arial" w:eastAsia="Arial" w:hAnsi="Arial"/>
                <w:sz w:val="4"/>
                <w:szCs w:val="4"/>
                <w:color w:val="auto"/>
              </w:rPr>
              <w:t>​</w:t>
            </w:r>
          </w:p>
        </w:tc>
        <w:tc>
          <w:tcPr>
            <w:tcW w:w="2020" w:type="dxa"/>
            <w:vAlign w:val="bottom"/>
          </w:tcPr>
          <w:p>
            <w:pPr>
              <w:ind w:left="420"/>
              <w:spacing w:after="0"/>
              <w:rPr>
                <w:sz w:val="20"/>
                <w:szCs w:val="20"/>
                <w:color w:val="auto"/>
              </w:rPr>
            </w:pPr>
            <w:r>
              <w:rPr>
                <w:rFonts w:ascii="Arial" w:cs="Arial" w:eastAsia="Arial" w:hAnsi="Arial"/>
                <w:sz w:val="16"/>
                <w:szCs w:val="16"/>
                <w:color w:val="auto"/>
              </w:rPr>
              <w:t>     Financial expert</w:t>
            </w: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tcPr>
          <w:p>
            <w:pPr>
              <w:ind w:left="60"/>
              <w:spacing w:after="0"/>
              <w:rPr>
                <w:sz w:val="20"/>
                <w:szCs w:val="20"/>
                <w:color w:val="auto"/>
              </w:rPr>
            </w:pPr>
            <w:r>
              <w:rPr>
                <w:rFonts w:ascii="Arial" w:cs="Arial" w:eastAsia="Arial" w:hAnsi="Arial"/>
                <w:sz w:val="4"/>
                <w:szCs w:val="4"/>
                <w:color w:val="auto"/>
              </w:rPr>
              <w:t>​</w:t>
            </w:r>
          </w:p>
        </w:tc>
        <w:tc>
          <w:tcPr>
            <w:tcW w:w="2060" w:type="dxa"/>
            <w:vAlign w:val="bottom"/>
          </w:tcPr>
          <w:p>
            <w:pPr>
              <w:spacing w:after="0"/>
              <w:rPr>
                <w:sz w:val="17"/>
                <w:szCs w:val="17"/>
                <w:color w:val="auto"/>
              </w:rPr>
            </w:pPr>
          </w:p>
        </w:tc>
        <w:tc>
          <w:tcPr>
            <w:tcW w:w="120" w:type="dxa"/>
            <w:vAlign w:val="bottom"/>
          </w:tcPr>
          <w:p>
            <w:pPr>
              <w:ind w:left="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Audit Committee</w:t>
      </w:r>
    </w:p>
    <w:p>
      <w:pPr>
        <w:spacing w:after="0" w:line="66"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auto"/>
        </w:rPr>
        <w:t>Our audit committee consists of Mr. Blair and Mss. Campbell and Mathew, with Mr. Blair serving as chair.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Blair and Ms. Mathew are audit committee financial experts within the meaning of Item 407(d) of Regulation S-K. Our audit committee is responsible for, among other things:</w:t>
      </w:r>
    </w:p>
    <w:p>
      <w:pPr>
        <w:spacing w:after="0" w:line="95" w:lineRule="exact"/>
        <w:rPr>
          <w:sz w:val="20"/>
          <w:szCs w:val="20"/>
          <w:color w:val="auto"/>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13" w:lineRule="exact"/>
        <w:rPr>
          <w:rFonts w:ascii="Arial" w:cs="Arial" w:eastAsia="Arial" w:hAnsi="Arial"/>
          <w:sz w:val="16"/>
          <w:szCs w:val="16"/>
          <w:color w:val="0063A6"/>
        </w:rPr>
      </w:pPr>
    </w:p>
    <w:p>
      <w:pPr>
        <w:ind w:left="284" w:hanging="284"/>
        <w:spacing w:after="0" w:line="257" w:lineRule="auto"/>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280"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13" w:lineRule="exact"/>
        <w:rPr>
          <w:rFonts w:ascii="Arial" w:cs="Arial" w:eastAsia="Arial" w:hAnsi="Arial"/>
          <w:sz w:val="16"/>
          <w:szCs w:val="16"/>
          <w:color w:val="0063A6"/>
        </w:rPr>
      </w:pPr>
    </w:p>
    <w:p>
      <w:pPr>
        <w:ind w:left="284" w:right="80" w:hanging="284"/>
        <w:spacing w:after="0" w:line="260" w:lineRule="auto"/>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87"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and approving any amendments to the internal audit charter;</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13" w:lineRule="exact"/>
        <w:rPr>
          <w:rFonts w:ascii="Arial" w:cs="Arial" w:eastAsia="Arial" w:hAnsi="Arial"/>
          <w:sz w:val="16"/>
          <w:szCs w:val="16"/>
          <w:color w:val="0063A6"/>
        </w:rPr>
      </w:pPr>
    </w:p>
    <w:p>
      <w:pPr>
        <w:ind w:left="284" w:right="480" w:hanging="284"/>
        <w:spacing w:after="0" w:line="260" w:lineRule="auto"/>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developing procedures for employees to submit concerns anonymously about questionable accounting, internal accounting controls, or audit matters;</w:t>
      </w:r>
    </w:p>
    <w:p>
      <w:pPr>
        <w:spacing w:after="0" w:line="87"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13" w:lineRule="exact"/>
        <w:rPr>
          <w:rFonts w:ascii="Arial" w:cs="Arial" w:eastAsia="Arial" w:hAnsi="Arial"/>
          <w:sz w:val="16"/>
          <w:szCs w:val="16"/>
          <w:color w:val="0063A6"/>
        </w:rPr>
      </w:pPr>
    </w:p>
    <w:p>
      <w:pPr>
        <w:ind w:left="284" w:hanging="284"/>
        <w:spacing w:after="0"/>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113" w:lineRule="exact"/>
        <w:rPr>
          <w:rFonts w:ascii="Arial" w:cs="Arial" w:eastAsia="Arial" w:hAnsi="Arial"/>
          <w:sz w:val="16"/>
          <w:szCs w:val="16"/>
          <w:color w:val="0063A6"/>
        </w:rPr>
      </w:pPr>
    </w:p>
    <w:p>
      <w:pPr>
        <w:ind w:left="284" w:right="460" w:hanging="284"/>
        <w:spacing w:after="0" w:line="260" w:lineRule="auto"/>
        <w:tabs>
          <w:tab w:leader="none" w:pos="284"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programs and policies with respect to assessing and managing risks pertaining to our operational infrastructure, particularly reliability, business continuity, cybersecurity, and data privacy;</w:t>
      </w:r>
    </w:p>
    <w:p>
      <w:pPr>
        <w:sectPr>
          <w:pgSz w:w="11900" w:h="16838" w:orient="portrait"/>
          <w:cols w:equalWidth="0" w:num="1">
            <w:col w:w="9564"/>
          </w:cols>
          <w:pgMar w:left="1156" w:top="265" w:right="1179" w:bottom="1440" w:gutter="0" w:footer="0" w:header="0"/>
        </w:sectPr>
      </w:pP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12 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6" w:name="page17"/>
    <w:bookmarkEnd w:id="1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84" w:hanging="284"/>
        <w:spacing w:after="0"/>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pacing w:after="0" w:line="113" w:lineRule="exact"/>
        <w:rPr>
          <w:rFonts w:ascii="Arial" w:cs="Arial" w:eastAsia="Arial" w:hAnsi="Arial"/>
          <w:sz w:val="16"/>
          <w:szCs w:val="16"/>
          <w:color w:val="0063A6"/>
        </w:rPr>
      </w:pPr>
    </w:p>
    <w:p>
      <w:pPr>
        <w:ind w:left="284" w:right="280" w:hanging="284"/>
        <w:spacing w:after="0" w:line="260" w:lineRule="auto"/>
        <w:tabs>
          <w:tab w:leader="none" w:pos="284"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41" w:lineRule="exact"/>
        <w:rPr>
          <w:sz w:val="20"/>
          <w:szCs w:val="20"/>
          <w:color w:val="auto"/>
        </w:rPr>
      </w:pPr>
    </w:p>
    <w:p>
      <w:pPr>
        <w:jc w:val="both"/>
        <w:ind w:left="4" w:right="380"/>
        <w:spacing w:after="0" w:line="253"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2022, our audit committee held six meetings.</w:t>
      </w:r>
    </w:p>
    <w:p>
      <w:pPr>
        <w:spacing w:after="0" w:line="3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Talent and Compensation Committee</w:t>
      </w:r>
    </w:p>
    <w:p>
      <w:pPr>
        <w:spacing w:after="0" w:line="66"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Our talent and compensation committee consists of Mss. Peacock and Mathew and Messrs. Parasnis and Seibel, with Ms. Mathew serving as chair. Mr. Parasnis was appointed to the talent and compensation committee in March 2022.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talent and compensation committee is responsible for, among other things:</w:t>
      </w:r>
    </w:p>
    <w:p>
      <w:pPr>
        <w:spacing w:after="0" w:line="151" w:lineRule="exact"/>
        <w:rPr>
          <w:sz w:val="20"/>
          <w:szCs w:val="20"/>
          <w:color w:val="auto"/>
        </w:rPr>
      </w:pPr>
    </w:p>
    <w:p>
      <w:pPr>
        <w:ind w:left="284" w:right="100" w:hanging="284"/>
        <w:spacing w:after="0" w:line="260" w:lineRule="auto"/>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administering our equity compensation plans;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approving, and administering incentive compensation and equity compensation plans;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 and</w:t>
      </w:r>
    </w:p>
    <w:p>
      <w:pPr>
        <w:spacing w:after="0" w:line="167" w:lineRule="exact"/>
        <w:rPr>
          <w:rFonts w:ascii="Arial" w:cs="Arial" w:eastAsia="Arial" w:hAnsi="Arial"/>
          <w:sz w:val="16"/>
          <w:szCs w:val="16"/>
          <w:color w:val="0063A6"/>
        </w:rPr>
      </w:pPr>
    </w:p>
    <w:p>
      <w:pPr>
        <w:ind w:left="284" w:right="240" w:hanging="284"/>
        <w:spacing w:after="0" w:line="260" w:lineRule="auto"/>
        <w:tabs>
          <w:tab w:leader="none" w:pos="284"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our human capital management disclosures and activities, including assisting our board with matters related to talent acquisition, management and development, employee engagement, and diversity and inclusion.</w:t>
      </w:r>
    </w:p>
    <w:p>
      <w:pPr>
        <w:spacing w:after="0" w:line="141"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2022, our talent and compensation committee held four meetings.</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52" w:lineRule="exact"/>
        <w:rPr>
          <w:sz w:val="20"/>
          <w:szCs w:val="20"/>
          <w:color w:val="auto"/>
        </w:rPr>
      </w:pPr>
    </w:p>
    <w:p>
      <w:pPr>
        <w:jc w:val="both"/>
        <w:ind w:left="4" w:right="320"/>
        <w:spacing w:after="0" w:line="253" w:lineRule="auto"/>
        <w:rPr>
          <w:sz w:val="20"/>
          <w:szCs w:val="20"/>
          <w:color w:val="auto"/>
        </w:rPr>
      </w:pPr>
      <w:r>
        <w:rPr>
          <w:rFonts w:ascii="Arial" w:cs="Arial" w:eastAsia="Arial" w:hAnsi="Arial"/>
          <w:sz w:val="16"/>
          <w:szCs w:val="16"/>
          <w:color w:val="auto"/>
        </w:rPr>
        <w:t>Our nominating and corporate governance committee consists of Ms. Campbell and Dr. Jacobs, with Dr. Jacobs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47" w:lineRule="exact"/>
        <w:rPr>
          <w:sz w:val="20"/>
          <w:szCs w:val="20"/>
          <w:color w:val="auto"/>
        </w:rPr>
      </w:pPr>
    </w:p>
    <w:p>
      <w:pPr>
        <w:ind w:left="284" w:right="300" w:hanging="284"/>
        <w:spacing w:after="0" w:line="260" w:lineRule="auto"/>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63A6"/>
        </w:rPr>
      </w:pPr>
    </w:p>
    <w:p>
      <w:pPr>
        <w:ind w:left="284" w:right="300" w:hanging="284"/>
        <w:spacing w:after="0" w:line="260" w:lineRule="auto"/>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contributing to succession planning;</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 and</w:t>
      </w:r>
    </w:p>
    <w:p>
      <w:pPr>
        <w:spacing w:after="0" w:line="147" w:lineRule="exact"/>
        <w:rPr>
          <w:rFonts w:ascii="Arial" w:cs="Arial" w:eastAsia="Arial" w:hAnsi="Arial"/>
          <w:sz w:val="16"/>
          <w:szCs w:val="16"/>
          <w:color w:val="0063A6"/>
        </w:rPr>
      </w:pPr>
    </w:p>
    <w:p>
      <w:pPr>
        <w:ind w:left="284" w:hanging="284"/>
        <w:spacing w:after="0"/>
        <w:tabs>
          <w:tab w:leader="none" w:pos="284"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our environmental, social and governance (“</w:t>
      </w:r>
      <w:r>
        <w:rPr>
          <w:rFonts w:ascii="Arial" w:cs="Arial" w:eastAsia="Arial" w:hAnsi="Arial"/>
          <w:sz w:val="16"/>
          <w:szCs w:val="16"/>
          <w:b w:val="1"/>
          <w:bCs w:val="1"/>
          <w:i w:val="1"/>
          <w:iCs w:val="1"/>
          <w:color w:val="auto"/>
        </w:rPr>
        <w:t>ESG</w:t>
      </w:r>
      <w:r>
        <w:rPr>
          <w:rFonts w:ascii="Arial" w:cs="Arial" w:eastAsia="Arial" w:hAnsi="Arial"/>
          <w:sz w:val="16"/>
          <w:szCs w:val="16"/>
          <w:color w:val="auto"/>
        </w:rPr>
        <w:t>”) activities, programs and disclosures.</w:t>
      </w: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58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2022, our nominating and corporate governance committee held three meetings.</w:t>
      </w:r>
    </w:p>
    <w:p>
      <w:pPr>
        <w:spacing w:after="0" w:line="233" w:lineRule="exact"/>
        <w:rPr>
          <w:sz w:val="20"/>
          <w:szCs w:val="20"/>
          <w:color w:val="auto"/>
        </w:rPr>
      </w:pPr>
    </w:p>
    <w:p>
      <w:pPr>
        <w:spacing w:after="0"/>
        <w:rPr>
          <w:sz w:val="20"/>
          <w:szCs w:val="20"/>
          <w:color w:val="auto"/>
        </w:rPr>
      </w:pPr>
      <w:r>
        <w:rPr>
          <w:rFonts w:ascii="Arial" w:cs="Arial" w:eastAsia="Arial" w:hAnsi="Arial"/>
          <w:sz w:val="26"/>
          <w:szCs w:val="26"/>
          <w:color w:val="0063A6"/>
        </w:rPr>
        <w:t>Attendance at Board and Stockholder Meetings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During our fiscal year ended December 31, 2022,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directors who then served on the board attended our 2022 annual meeting of our stockholders.</w:t>
      </w:r>
    </w:p>
    <w:p>
      <w:pPr>
        <w:spacing w:after="0" w:line="233"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26"/>
          <w:szCs w:val="26"/>
          <w:color w:val="0063A6"/>
        </w:rPr>
        <w:t>Considerations in Evaluating Director Nominees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sexual orientation, gender identity,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5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240" w:lineRule="exact"/>
        <w:rPr>
          <w:sz w:val="20"/>
          <w:szCs w:val="20"/>
          <w:color w:val="auto"/>
        </w:rPr>
      </w:pPr>
    </w:p>
    <w:p>
      <w:pPr>
        <w:spacing w:after="0"/>
        <w:rPr>
          <w:sz w:val="20"/>
          <w:szCs w:val="20"/>
          <w:color w:val="auto"/>
        </w:rPr>
      </w:pPr>
      <w:r>
        <w:rPr>
          <w:rFonts w:ascii="Arial" w:cs="Arial" w:eastAsia="Arial" w:hAnsi="Arial"/>
          <w:sz w:val="26"/>
          <w:szCs w:val="26"/>
          <w:color w:val="0063A6"/>
        </w:rPr>
        <w:t>Board Evaluations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Our board of directors engaged a board governance consultant (the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to help enhance this assessment process.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pacing w:after="0" w:line="1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board of directors and its committees implement improvements and take further actions, as appropriate, based on opportunities identified during its evaluation.</w:t>
      </w:r>
    </w:p>
    <w:p>
      <w:pPr>
        <w:spacing w:after="0" w:line="268" w:lineRule="exact"/>
        <w:rPr>
          <w:sz w:val="20"/>
          <w:szCs w:val="20"/>
          <w:color w:val="auto"/>
        </w:rPr>
      </w:pPr>
    </w:p>
    <w:p>
      <w:pPr>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Dropbox, Inc.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5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1800 Owens Street San Francisco, California 94158. To be timely for the 2024 annual meeting of stockholders, nominations must be received by our Corporate Secretary observing the same deadlines for stockholder proposals discussed above under “</w:t>
      </w:r>
      <w:r>
        <w:rPr>
          <w:rFonts w:ascii="Arial" w:cs="Arial" w:eastAsia="Arial" w:hAnsi="Arial"/>
          <w:sz w:val="16"/>
          <w:szCs w:val="16"/>
          <w:i w:val="1"/>
          <w:iCs w:val="1"/>
          <w:color w:val="auto"/>
        </w:rPr>
        <w:t>What is the deadline to propose actions for consideration at next year’s annual meeting of stockholders or to</w:t>
      </w:r>
      <w:r>
        <w:rPr>
          <w:rFonts w:ascii="Arial" w:cs="Arial" w:eastAsia="Arial" w:hAnsi="Arial"/>
          <w:sz w:val="16"/>
          <w:szCs w:val="16"/>
          <w:color w:val="auto"/>
        </w:rPr>
        <w:t xml:space="preserve"> </w:t>
      </w:r>
      <w:r>
        <w:rPr>
          <w:rFonts w:ascii="Arial" w:cs="Arial" w:eastAsia="Arial" w:hAnsi="Arial"/>
          <w:sz w:val="16"/>
          <w:szCs w:val="16"/>
          <w:i w:val="1"/>
          <w:iCs w:val="1"/>
          <w:color w:val="auto"/>
        </w:rPr>
        <w:t>nominate individuals to serve as directors? – Stockholder Proposals.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6"/>
          <w:szCs w:val="26"/>
          <w:color w:val="0063A6"/>
        </w:rPr>
        <w:t>Communications with the Board of Directors</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4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directors?—Stockholder Proposals</w:t>
      </w:r>
      <w:r>
        <w:rPr>
          <w:rFonts w:ascii="Arial" w:cs="Arial" w:eastAsia="Arial" w:hAnsi="Arial"/>
          <w:sz w:val="16"/>
          <w:szCs w:val="16"/>
          <w:color w:val="auto"/>
        </w:rPr>
        <w:t>” described above in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60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235" w:lineRule="exact"/>
        <w:rPr>
          <w:sz w:val="20"/>
          <w:szCs w:val="20"/>
          <w:color w:val="auto"/>
        </w:rPr>
      </w:pPr>
    </w:p>
    <w:p>
      <w:pPr>
        <w:spacing w:after="0"/>
        <w:rPr>
          <w:sz w:val="20"/>
          <w:szCs w:val="20"/>
          <w:color w:val="auto"/>
        </w:rPr>
      </w:pPr>
      <w:r>
        <w:rPr>
          <w:rFonts w:ascii="Arial" w:cs="Arial" w:eastAsia="Arial" w:hAnsi="Arial"/>
          <w:sz w:val="26"/>
          <w:szCs w:val="26"/>
          <w:color w:val="0063A6"/>
        </w:rPr>
        <w:t>Role of Board in Risk Oversight Process</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pacing w:after="0" w:line="15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0" w:type="dxa"/>
            <w:vAlign w:val="bottom"/>
            <w:shd w:val="clear" w:color="auto" w:fill="E5EFFD"/>
          </w:tcPr>
          <w:p>
            <w:pPr>
              <w:spacing w:after="0"/>
              <w:rPr>
                <w:sz w:val="20"/>
                <w:szCs w:val="20"/>
                <w:color w:val="auto"/>
              </w:rPr>
            </w:pPr>
            <w:r>
              <w:rPr>
                <w:rFonts w:ascii="Arial" w:cs="Arial" w:eastAsia="Arial" w:hAnsi="Arial"/>
                <w:sz w:val="4"/>
                <w:szCs w:val="4"/>
                <w:color w:val="auto"/>
              </w:rPr>
              <w:t>​</w:t>
            </w:r>
          </w:p>
        </w:tc>
        <w:tc>
          <w:tcPr>
            <w:tcW w:w="4420" w:type="dxa"/>
            <w:vAlign w:val="bottom"/>
            <w:shd w:val="clear" w:color="auto" w:fill="E5EFFD"/>
          </w:tcPr>
          <w:p>
            <w:pPr>
              <w:spacing w:after="0"/>
              <w:rPr>
                <w:sz w:val="24"/>
                <w:szCs w:val="24"/>
                <w:color w:val="auto"/>
              </w:rPr>
            </w:pPr>
          </w:p>
        </w:tc>
        <w:tc>
          <w:tcPr>
            <w:tcW w:w="5040" w:type="dxa"/>
            <w:vAlign w:val="bottom"/>
            <w:gridSpan w:val="3"/>
            <w:shd w:val="clear" w:color="auto" w:fill="E5EFFD"/>
          </w:tcPr>
          <w:p>
            <w:pPr>
              <w:ind w:left="20"/>
              <w:spacing w:after="0"/>
              <w:rPr>
                <w:sz w:val="20"/>
                <w:szCs w:val="20"/>
                <w:color w:val="auto"/>
              </w:rPr>
            </w:pPr>
            <w:r>
              <w:rPr>
                <w:rFonts w:ascii="Arial" w:cs="Arial" w:eastAsia="Arial" w:hAnsi="Arial"/>
                <w:sz w:val="22"/>
                <w:szCs w:val="22"/>
                <w:b w:val="1"/>
                <w:bCs w:val="1"/>
                <w:color w:val="0063A6"/>
              </w:rPr>
              <w:t>Audit</w:t>
            </w:r>
          </w:p>
        </w:tc>
        <w:tc>
          <w:tcPr>
            <w:tcW w:w="60" w:type="dxa"/>
            <w:vAlign w:val="bottom"/>
            <w:shd w:val="clear" w:color="auto" w:fill="E5EFFD"/>
          </w:tcPr>
          <w:p>
            <w:pPr>
              <w:ind w:left="20"/>
              <w:spacing w:after="0"/>
              <w:rPr>
                <w:sz w:val="20"/>
                <w:szCs w:val="20"/>
                <w:color w:val="auto"/>
              </w:rPr>
            </w:pPr>
            <w:r>
              <w:rPr>
                <w:rFonts w:ascii="Arial" w:cs="Arial" w:eastAsia="Arial" w:hAnsi="Arial"/>
                <w:sz w:val="4"/>
                <w:szCs w:val="4"/>
                <w:color w:val="auto"/>
              </w:rPr>
              <w:t>​</w:t>
            </w:r>
          </w:p>
        </w:tc>
      </w:tr>
      <w:tr>
        <w:trPr>
          <w:trHeight w:val="324"/>
        </w:trPr>
        <w:tc>
          <w:tcPr>
            <w:tcW w:w="40" w:type="dxa"/>
            <w:vAlign w:val="bottom"/>
            <w:tcBorders>
              <w:bottom w:val="single" w:sz="8" w:color="E5EFFD"/>
            </w:tcBorders>
            <w:shd w:val="clear" w:color="auto" w:fill="E5EFFD"/>
          </w:tcPr>
          <w:p>
            <w:pPr>
              <w:spacing w:after="0"/>
              <w:rPr>
                <w:sz w:val="24"/>
                <w:szCs w:val="24"/>
                <w:color w:val="auto"/>
              </w:rPr>
            </w:pPr>
          </w:p>
        </w:tc>
        <w:tc>
          <w:tcPr>
            <w:tcW w:w="9460" w:type="dxa"/>
            <w:vAlign w:val="bottom"/>
            <w:tcBorders>
              <w:bottom w:val="single" w:sz="8" w:color="E5EFFD"/>
            </w:tcBorders>
            <w:gridSpan w:val="4"/>
            <w:shd w:val="clear" w:color="auto" w:fill="E5EFFD"/>
          </w:tcPr>
          <w:p>
            <w:pPr>
              <w:ind w:left="4200"/>
              <w:spacing w:after="0"/>
              <w:rPr>
                <w:sz w:val="20"/>
                <w:szCs w:val="20"/>
                <w:color w:val="auto"/>
              </w:rPr>
            </w:pPr>
            <w:r>
              <w:rPr>
                <w:rFonts w:ascii="Arial" w:cs="Arial" w:eastAsia="Arial" w:hAnsi="Arial"/>
                <w:sz w:val="22"/>
                <w:szCs w:val="22"/>
                <w:b w:val="1"/>
                <w:bCs w:val="1"/>
                <w:color w:val="0063A6"/>
              </w:rPr>
              <w:t>Committee</w:t>
            </w:r>
          </w:p>
        </w:tc>
        <w:tc>
          <w:tcPr>
            <w:tcW w:w="60" w:type="dxa"/>
            <w:vAlign w:val="bottom"/>
            <w:tcBorders>
              <w:bottom w:val="single" w:sz="8" w:color="E5EFFD"/>
            </w:tcBorders>
            <w:shd w:val="clear" w:color="auto" w:fill="E5EFFD"/>
          </w:tcPr>
          <w:p>
            <w:pPr>
              <w:spacing w:after="0"/>
              <w:rPr>
                <w:sz w:val="24"/>
                <w:szCs w:val="24"/>
                <w:color w:val="auto"/>
              </w:rPr>
            </w:pPr>
          </w:p>
        </w:tc>
      </w:tr>
      <w:tr>
        <w:trPr>
          <w:trHeight w:val="366"/>
        </w:trPr>
        <w:tc>
          <w:tcPr>
            <w:tcW w:w="40" w:type="dxa"/>
            <w:vAlign w:val="bottom"/>
          </w:tcPr>
          <w:p>
            <w:pPr>
              <w:spacing w:after="0"/>
              <w:rPr>
                <w:sz w:val="24"/>
                <w:szCs w:val="24"/>
                <w:color w:val="auto"/>
              </w:rPr>
            </w:pPr>
          </w:p>
        </w:tc>
        <w:tc>
          <w:tcPr>
            <w:tcW w:w="9460" w:type="dxa"/>
            <w:vAlign w:val="bottom"/>
            <w:gridSpan w:val="4"/>
          </w:tcPr>
          <w:p>
            <w:pPr>
              <w:ind w:left="40"/>
              <w:spacing w:after="0"/>
              <w:rPr>
                <w:sz w:val="20"/>
                <w:szCs w:val="20"/>
                <w:color w:val="auto"/>
              </w:rPr>
            </w:pPr>
            <w:r>
              <w:rPr>
                <w:rFonts w:ascii="Arial" w:cs="Arial" w:eastAsia="Arial" w:hAnsi="Arial"/>
                <w:sz w:val="16"/>
                <w:szCs w:val="16"/>
                <w:color w:val="auto"/>
              </w:rPr>
              <w:t>Our audit committee assists our board in fulfilling its oversight responsibilities with respect to risk management in the areas of</w:t>
            </w:r>
          </w:p>
        </w:tc>
        <w:tc>
          <w:tcPr>
            <w:tcW w:w="6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9460" w:type="dxa"/>
            <w:vAlign w:val="bottom"/>
            <w:gridSpan w:val="4"/>
          </w:tcPr>
          <w:p>
            <w:pPr>
              <w:ind w:left="40"/>
              <w:spacing w:after="0"/>
              <w:rPr>
                <w:sz w:val="20"/>
                <w:szCs w:val="20"/>
                <w:color w:val="auto"/>
              </w:rPr>
            </w:pPr>
            <w:r>
              <w:rPr>
                <w:rFonts w:ascii="Arial" w:cs="Arial" w:eastAsia="Arial" w:hAnsi="Arial"/>
                <w:sz w:val="16"/>
                <w:szCs w:val="16"/>
                <w:color w:val="auto"/>
              </w:rPr>
              <w:t>internal control over financial reporting and disclosure controls and procedures, as well as legal and regulatory compliance. The</w:t>
            </w:r>
          </w:p>
        </w:tc>
        <w:tc>
          <w:tcPr>
            <w:tcW w:w="60" w:type="dxa"/>
            <w:vAlign w:val="bottom"/>
          </w:tcPr>
          <w:p>
            <w:pPr>
              <w:spacing w:after="0"/>
              <w:rPr>
                <w:sz w:val="16"/>
                <w:szCs w:val="16"/>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9460" w:type="dxa"/>
            <w:vAlign w:val="bottom"/>
            <w:gridSpan w:val="4"/>
          </w:tcPr>
          <w:p>
            <w:pPr>
              <w:ind w:left="40"/>
              <w:spacing w:after="0"/>
              <w:rPr>
                <w:sz w:val="20"/>
                <w:szCs w:val="20"/>
                <w:color w:val="auto"/>
              </w:rPr>
            </w:pPr>
            <w:r>
              <w:rPr>
                <w:rFonts w:ascii="Arial" w:cs="Arial" w:eastAsia="Arial" w:hAnsi="Arial"/>
                <w:sz w:val="16"/>
                <w:szCs w:val="16"/>
                <w:color w:val="auto"/>
              </w:rPr>
              <w:t>audit committee further oversees our initiatives related to our operational infrastructure, particularly reliability, business continuity,</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r>
      <w:tr>
        <w:trPr>
          <w:trHeight w:val="189"/>
        </w:trPr>
        <w:tc>
          <w:tcPr>
            <w:tcW w:w="40" w:type="dxa"/>
            <w:vAlign w:val="bottom"/>
          </w:tcPr>
          <w:p>
            <w:pPr>
              <w:spacing w:after="0"/>
              <w:rPr>
                <w:sz w:val="16"/>
                <w:szCs w:val="16"/>
                <w:color w:val="auto"/>
              </w:rPr>
            </w:pPr>
          </w:p>
        </w:tc>
        <w:tc>
          <w:tcPr>
            <w:tcW w:w="9460" w:type="dxa"/>
            <w:vAlign w:val="bottom"/>
            <w:gridSpan w:val="4"/>
          </w:tcPr>
          <w:p>
            <w:pPr>
              <w:ind w:left="40"/>
              <w:spacing w:after="0"/>
              <w:rPr>
                <w:sz w:val="20"/>
                <w:szCs w:val="20"/>
                <w:color w:val="auto"/>
              </w:rPr>
            </w:pPr>
            <w:r>
              <w:rPr>
                <w:rFonts w:ascii="Arial" w:cs="Arial" w:eastAsia="Arial" w:hAnsi="Arial"/>
                <w:sz w:val="16"/>
                <w:szCs w:val="16"/>
                <w:color w:val="auto"/>
              </w:rPr>
              <w:t>cybersecurity, and data privacy. Our audit committee also, among other things, discusses with management and the independent</w:t>
            </w:r>
          </w:p>
        </w:tc>
        <w:tc>
          <w:tcPr>
            <w:tcW w:w="60" w:type="dxa"/>
            <w:vAlign w:val="bottom"/>
          </w:tcPr>
          <w:p>
            <w:pPr>
              <w:spacing w:after="0"/>
              <w:rPr>
                <w:sz w:val="16"/>
                <w:szCs w:val="16"/>
                <w:color w:val="auto"/>
              </w:rPr>
            </w:pPr>
          </w:p>
        </w:tc>
      </w:tr>
      <w:tr>
        <w:trPr>
          <w:trHeight w:val="195"/>
        </w:trPr>
        <w:tc>
          <w:tcPr>
            <w:tcW w:w="40" w:type="dxa"/>
            <w:vAlign w:val="bottom"/>
          </w:tcPr>
          <w:p>
            <w:pPr>
              <w:spacing w:after="0"/>
              <w:rPr>
                <w:sz w:val="16"/>
                <w:szCs w:val="16"/>
                <w:color w:val="auto"/>
              </w:rPr>
            </w:pPr>
          </w:p>
        </w:tc>
        <w:tc>
          <w:tcPr>
            <w:tcW w:w="9460" w:type="dxa"/>
            <w:vAlign w:val="bottom"/>
            <w:gridSpan w:val="4"/>
          </w:tcPr>
          <w:p>
            <w:pPr>
              <w:ind w:left="40"/>
              <w:spacing w:after="0"/>
              <w:rPr>
                <w:sz w:val="20"/>
                <w:szCs w:val="20"/>
                <w:color w:val="auto"/>
              </w:rPr>
            </w:pPr>
            <w:r>
              <w:rPr>
                <w:rFonts w:ascii="Arial" w:cs="Arial" w:eastAsia="Arial" w:hAnsi="Arial"/>
                <w:sz w:val="16"/>
                <w:szCs w:val="16"/>
                <w:color w:val="auto"/>
              </w:rPr>
              <w:t>auditor guidelines with respect to risk assessment and risk management.</w:t>
            </w:r>
          </w:p>
        </w:tc>
        <w:tc>
          <w:tcPr>
            <w:tcW w:w="60" w:type="dxa"/>
            <w:vAlign w:val="bottom"/>
          </w:tcPr>
          <w:p>
            <w:pPr>
              <w:spacing w:after="0"/>
              <w:rPr>
                <w:sz w:val="16"/>
                <w:szCs w:val="16"/>
                <w:color w:val="auto"/>
              </w:rPr>
            </w:pPr>
          </w:p>
        </w:tc>
      </w:tr>
      <w:tr>
        <w:trPr>
          <w:trHeight w:val="20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4420" w:type="dxa"/>
            <w:vAlign w:val="bottom"/>
          </w:tcPr>
          <w:p>
            <w:pPr>
              <w:spacing w:after="0"/>
              <w:rPr>
                <w:sz w:val="17"/>
                <w:szCs w:val="17"/>
                <w:color w:val="auto"/>
              </w:rPr>
            </w:pPr>
          </w:p>
        </w:tc>
        <w:tc>
          <w:tcPr>
            <w:tcW w:w="300" w:type="dxa"/>
            <w:vAlign w:val="bottom"/>
          </w:tcPr>
          <w:p>
            <w:pPr>
              <w:ind w:left="22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4640" w:type="dxa"/>
            <w:vAlign w:val="bottom"/>
          </w:tcPr>
          <w:p>
            <w:pPr>
              <w:spacing w:after="0"/>
              <w:rPr>
                <w:sz w:val="17"/>
                <w:szCs w:val="17"/>
                <w:color w:val="auto"/>
              </w:rPr>
            </w:pP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r>
      <w:tr>
        <w:trPr>
          <w:trHeight w:val="98"/>
        </w:trPr>
        <w:tc>
          <w:tcPr>
            <w:tcW w:w="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31"/>
        </w:trPr>
        <w:tc>
          <w:tcPr>
            <w:tcW w:w="40" w:type="dxa"/>
            <w:vAlign w:val="bottom"/>
            <w:shd w:val="clear" w:color="auto" w:fill="E5EFFD"/>
          </w:tcPr>
          <w:p>
            <w:pPr>
              <w:spacing w:after="0"/>
              <w:rPr>
                <w:sz w:val="20"/>
                <w:szCs w:val="20"/>
                <w:color w:val="auto"/>
              </w:rPr>
            </w:pPr>
            <w:r>
              <w:rPr>
                <w:rFonts w:ascii="Arial" w:cs="Arial" w:eastAsia="Arial" w:hAnsi="Arial"/>
                <w:sz w:val="4"/>
                <w:szCs w:val="4"/>
                <w:color w:val="auto"/>
              </w:rPr>
              <w:t>​</w:t>
            </w:r>
          </w:p>
        </w:tc>
        <w:tc>
          <w:tcPr>
            <w:tcW w:w="4420" w:type="dxa"/>
            <w:vAlign w:val="bottom"/>
            <w:shd w:val="clear" w:color="auto" w:fill="E5EFFD"/>
          </w:tcPr>
          <w:p>
            <w:pPr>
              <w:ind w:left="980"/>
              <w:spacing w:after="0"/>
              <w:rPr>
                <w:sz w:val="20"/>
                <w:szCs w:val="20"/>
                <w:color w:val="auto"/>
              </w:rPr>
            </w:pPr>
            <w:r>
              <w:rPr>
                <w:rFonts w:ascii="Arial" w:cs="Arial" w:eastAsia="Arial" w:hAnsi="Arial"/>
                <w:sz w:val="22"/>
                <w:szCs w:val="22"/>
                <w:b w:val="1"/>
                <w:bCs w:val="1"/>
                <w:color w:val="0063A6"/>
              </w:rPr>
              <w:t>Talent and Compensation</w:t>
            </w:r>
          </w:p>
        </w:tc>
        <w:tc>
          <w:tcPr>
            <w:tcW w:w="300" w:type="dxa"/>
            <w:vAlign w:val="bottom"/>
            <w:shd w:val="clear" w:color="auto" w:fill="E5EFFD"/>
          </w:tcPr>
          <w:p>
            <w:pPr>
              <w:ind w:left="220"/>
              <w:spacing w:after="0"/>
              <w:rPr>
                <w:sz w:val="20"/>
                <w:szCs w:val="20"/>
                <w:color w:val="auto"/>
              </w:rPr>
            </w:pPr>
            <w:r>
              <w:rPr>
                <w:rFonts w:ascii="Arial" w:cs="Arial" w:eastAsia="Arial" w:hAnsi="Arial"/>
                <w:sz w:val="4"/>
                <w:szCs w:val="4"/>
                <w:color w:val="auto"/>
              </w:rPr>
              <w:t>​</w:t>
            </w:r>
          </w:p>
        </w:tc>
        <w:tc>
          <w:tcPr>
            <w:tcW w:w="100" w:type="dxa"/>
            <w:vAlign w:val="bottom"/>
            <w:shd w:val="clear" w:color="auto" w:fill="E5EFFD"/>
          </w:tcPr>
          <w:p>
            <w:pPr>
              <w:ind w:left="60"/>
              <w:spacing w:after="0"/>
              <w:rPr>
                <w:sz w:val="20"/>
                <w:szCs w:val="20"/>
                <w:color w:val="auto"/>
              </w:rPr>
            </w:pPr>
            <w:r>
              <w:rPr>
                <w:rFonts w:ascii="Arial" w:cs="Arial" w:eastAsia="Arial" w:hAnsi="Arial"/>
                <w:sz w:val="4"/>
                <w:szCs w:val="4"/>
                <w:color w:val="auto"/>
              </w:rPr>
              <w:t>​</w:t>
            </w:r>
          </w:p>
        </w:tc>
        <w:tc>
          <w:tcPr>
            <w:tcW w:w="4640" w:type="dxa"/>
            <w:vAlign w:val="bottom"/>
            <w:shd w:val="clear" w:color="auto" w:fill="E5EFFD"/>
          </w:tcPr>
          <w:p>
            <w:pPr>
              <w:ind w:left="1520"/>
              <w:spacing w:after="0"/>
              <w:rPr>
                <w:sz w:val="20"/>
                <w:szCs w:val="20"/>
                <w:color w:val="auto"/>
              </w:rPr>
            </w:pPr>
            <w:r>
              <w:rPr>
                <w:rFonts w:ascii="Arial" w:cs="Arial" w:eastAsia="Arial" w:hAnsi="Arial"/>
                <w:sz w:val="22"/>
                <w:szCs w:val="22"/>
                <w:b w:val="1"/>
                <w:bCs w:val="1"/>
                <w:color w:val="0063A6"/>
              </w:rPr>
              <w:t>Nominating and</w:t>
            </w:r>
          </w:p>
        </w:tc>
        <w:tc>
          <w:tcPr>
            <w:tcW w:w="60" w:type="dxa"/>
            <w:vAlign w:val="bottom"/>
            <w:shd w:val="clear" w:color="auto" w:fill="E5EFFD"/>
          </w:tcPr>
          <w:p>
            <w:pPr>
              <w:ind w:left="20"/>
              <w:spacing w:after="0"/>
              <w:rPr>
                <w:sz w:val="20"/>
                <w:szCs w:val="20"/>
                <w:color w:val="auto"/>
              </w:rPr>
            </w:pPr>
            <w:r>
              <w:rPr>
                <w:rFonts w:ascii="Arial" w:cs="Arial" w:eastAsia="Arial" w:hAnsi="Arial"/>
                <w:sz w:val="4"/>
                <w:szCs w:val="4"/>
                <w:color w:val="auto"/>
              </w:rPr>
              <w:t>​</w:t>
            </w:r>
          </w:p>
        </w:tc>
      </w:tr>
      <w:tr>
        <w:trPr>
          <w:trHeight w:val="324"/>
        </w:trPr>
        <w:tc>
          <w:tcPr>
            <w:tcW w:w="40" w:type="dxa"/>
            <w:vAlign w:val="bottom"/>
            <w:tcBorders>
              <w:bottom w:val="single" w:sz="8" w:color="E5EFFD"/>
            </w:tcBorders>
            <w:shd w:val="clear" w:color="auto" w:fill="E5EFFD"/>
          </w:tcPr>
          <w:p>
            <w:pPr>
              <w:spacing w:after="0"/>
              <w:rPr>
                <w:sz w:val="24"/>
                <w:szCs w:val="24"/>
                <w:color w:val="auto"/>
              </w:rPr>
            </w:pPr>
          </w:p>
        </w:tc>
        <w:tc>
          <w:tcPr>
            <w:tcW w:w="4420" w:type="dxa"/>
            <w:vAlign w:val="bottom"/>
            <w:tcBorders>
              <w:bottom w:val="single" w:sz="8" w:color="E5EFFD"/>
            </w:tcBorders>
            <w:shd w:val="clear" w:color="auto" w:fill="E5EFFD"/>
          </w:tcPr>
          <w:p>
            <w:pPr>
              <w:ind w:left="1760"/>
              <w:spacing w:after="0"/>
              <w:rPr>
                <w:sz w:val="20"/>
                <w:szCs w:val="20"/>
                <w:color w:val="auto"/>
              </w:rPr>
            </w:pPr>
            <w:r>
              <w:rPr>
                <w:rFonts w:ascii="Arial" w:cs="Arial" w:eastAsia="Arial" w:hAnsi="Arial"/>
                <w:sz w:val="22"/>
                <w:szCs w:val="22"/>
                <w:b w:val="1"/>
                <w:bCs w:val="1"/>
                <w:color w:val="0063A6"/>
              </w:rPr>
              <w:t>Committee</w:t>
            </w:r>
          </w:p>
        </w:tc>
        <w:tc>
          <w:tcPr>
            <w:tcW w:w="300" w:type="dxa"/>
            <w:vAlign w:val="bottom"/>
            <w:tcBorders>
              <w:bottom w:val="single" w:sz="8" w:color="E5EFFD"/>
            </w:tcBorders>
            <w:shd w:val="clear" w:color="auto" w:fill="E5EFFD"/>
          </w:tcPr>
          <w:p>
            <w:pPr>
              <w:spacing w:after="0"/>
              <w:rPr>
                <w:sz w:val="24"/>
                <w:szCs w:val="24"/>
                <w:color w:val="auto"/>
              </w:rPr>
            </w:pPr>
          </w:p>
        </w:tc>
        <w:tc>
          <w:tcPr>
            <w:tcW w:w="100" w:type="dxa"/>
            <w:vAlign w:val="bottom"/>
            <w:tcBorders>
              <w:bottom w:val="single" w:sz="8" w:color="E5EFFD"/>
            </w:tcBorders>
            <w:shd w:val="clear" w:color="auto" w:fill="E5EFFD"/>
          </w:tcPr>
          <w:p>
            <w:pPr>
              <w:spacing w:after="0"/>
              <w:rPr>
                <w:sz w:val="24"/>
                <w:szCs w:val="24"/>
                <w:color w:val="auto"/>
              </w:rPr>
            </w:pPr>
          </w:p>
        </w:tc>
        <w:tc>
          <w:tcPr>
            <w:tcW w:w="4640" w:type="dxa"/>
            <w:vAlign w:val="bottom"/>
            <w:tcBorders>
              <w:bottom w:val="single" w:sz="8" w:color="E5EFFD"/>
            </w:tcBorders>
            <w:shd w:val="clear" w:color="auto" w:fill="E5EFFD"/>
          </w:tcPr>
          <w:p>
            <w:pPr>
              <w:ind w:left="600"/>
              <w:spacing w:after="0"/>
              <w:rPr>
                <w:sz w:val="20"/>
                <w:szCs w:val="20"/>
                <w:color w:val="auto"/>
              </w:rPr>
            </w:pPr>
            <w:r>
              <w:rPr>
                <w:rFonts w:ascii="Arial" w:cs="Arial" w:eastAsia="Arial" w:hAnsi="Arial"/>
                <w:sz w:val="22"/>
                <w:szCs w:val="22"/>
                <w:b w:val="1"/>
                <w:bCs w:val="1"/>
                <w:color w:val="0063A6"/>
              </w:rPr>
              <w:t>Corporate Governance Committee</w:t>
            </w:r>
          </w:p>
        </w:tc>
        <w:tc>
          <w:tcPr>
            <w:tcW w:w="60" w:type="dxa"/>
            <w:vAlign w:val="bottom"/>
            <w:tcBorders>
              <w:bottom w:val="single" w:sz="8" w:color="E5EFFD"/>
            </w:tcBorders>
            <w:shd w:val="clear" w:color="auto" w:fill="E5EFFD"/>
          </w:tcPr>
          <w:p>
            <w:pPr>
              <w:spacing w:after="0"/>
              <w:rPr>
                <w:sz w:val="24"/>
                <w:szCs w:val="24"/>
                <w:color w:val="auto"/>
              </w:rPr>
            </w:pPr>
          </w:p>
        </w:tc>
      </w:tr>
      <w:tr>
        <w:trPr>
          <w:trHeight w:val="366"/>
        </w:trPr>
        <w:tc>
          <w:tcPr>
            <w:tcW w:w="4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Arial" w:cs="Arial" w:eastAsia="Arial" w:hAnsi="Arial"/>
                <w:sz w:val="16"/>
                <w:szCs w:val="16"/>
                <w:color w:val="auto"/>
              </w:rPr>
              <w:t>Our talent and compensation committee assesses risks relating</w:t>
            </w:r>
          </w:p>
        </w:tc>
        <w:tc>
          <w:tcPr>
            <w:tcW w:w="100" w:type="dxa"/>
            <w:vAlign w:val="bottom"/>
          </w:tcPr>
          <w:p>
            <w:pPr>
              <w:spacing w:after="0"/>
              <w:rPr>
                <w:sz w:val="24"/>
                <w:szCs w:val="24"/>
                <w:color w:val="auto"/>
              </w:rPr>
            </w:pPr>
          </w:p>
        </w:tc>
        <w:tc>
          <w:tcPr>
            <w:tcW w:w="4640" w:type="dxa"/>
            <w:vAlign w:val="bottom"/>
          </w:tcPr>
          <w:p>
            <w:pPr>
              <w:ind w:left="60"/>
              <w:spacing w:after="0"/>
              <w:rPr>
                <w:sz w:val="20"/>
                <w:szCs w:val="20"/>
                <w:color w:val="auto"/>
              </w:rPr>
            </w:pPr>
            <w:r>
              <w:rPr>
                <w:rFonts w:ascii="Arial" w:cs="Arial" w:eastAsia="Arial" w:hAnsi="Arial"/>
                <w:sz w:val="16"/>
                <w:szCs w:val="16"/>
                <w:color w:val="auto"/>
              </w:rPr>
              <w:t>Our nominating and corporate governance committee assesses</w:t>
            </w:r>
          </w:p>
        </w:tc>
        <w:tc>
          <w:tcPr>
            <w:tcW w:w="6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4420" w:type="dxa"/>
            <w:vAlign w:val="bottom"/>
          </w:tcPr>
          <w:p>
            <w:pPr>
              <w:ind w:left="40"/>
              <w:spacing w:after="0"/>
              <w:rPr>
                <w:sz w:val="20"/>
                <w:szCs w:val="20"/>
                <w:color w:val="auto"/>
              </w:rPr>
            </w:pPr>
            <w:r>
              <w:rPr>
                <w:rFonts w:ascii="Arial" w:cs="Arial" w:eastAsia="Arial" w:hAnsi="Arial"/>
                <w:sz w:val="16"/>
                <w:szCs w:val="16"/>
                <w:color w:val="auto"/>
              </w:rPr>
              <w:t>to our executive compensation plans and arrangements, and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ind w:left="60"/>
              <w:spacing w:after="0"/>
              <w:rPr>
                <w:sz w:val="20"/>
                <w:szCs w:val="20"/>
                <w:color w:val="auto"/>
              </w:rPr>
            </w:pPr>
            <w:r>
              <w:rPr>
                <w:rFonts w:ascii="Arial" w:cs="Arial" w:eastAsia="Arial" w:hAnsi="Arial"/>
                <w:sz w:val="16"/>
                <w:szCs w:val="16"/>
                <w:color w:val="auto"/>
              </w:rPr>
              <w:t>risks relating to our corporate governance practices and the</w:t>
            </w:r>
          </w:p>
        </w:tc>
        <w:tc>
          <w:tcPr>
            <w:tcW w:w="60" w:type="dxa"/>
            <w:vAlign w:val="bottom"/>
          </w:tcPr>
          <w:p>
            <w:pPr>
              <w:spacing w:after="0"/>
              <w:rPr>
                <w:sz w:val="16"/>
                <w:szCs w:val="16"/>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4420" w:type="dxa"/>
            <w:vAlign w:val="bottom"/>
          </w:tcPr>
          <w:p>
            <w:pPr>
              <w:ind w:left="40"/>
              <w:spacing w:after="0"/>
              <w:rPr>
                <w:sz w:val="20"/>
                <w:szCs w:val="20"/>
                <w:color w:val="auto"/>
              </w:rPr>
            </w:pPr>
            <w:r>
              <w:rPr>
                <w:rFonts w:ascii="Arial" w:cs="Arial" w:eastAsia="Arial" w:hAnsi="Arial"/>
                <w:sz w:val="16"/>
                <w:szCs w:val="16"/>
                <w:color w:val="auto"/>
              </w:rPr>
              <w:t>whether our compensation policies and programs have the</w:t>
            </w:r>
          </w:p>
        </w:tc>
        <w:tc>
          <w:tcPr>
            <w:tcW w:w="300" w:type="dxa"/>
            <w:vAlign w:val="bottom"/>
          </w:tcPr>
          <w:p>
            <w:pPr>
              <w:ind w:left="22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4640" w:type="dxa"/>
            <w:vAlign w:val="bottom"/>
          </w:tcPr>
          <w:p>
            <w:pPr>
              <w:ind w:left="60"/>
              <w:spacing w:after="0"/>
              <w:rPr>
                <w:sz w:val="20"/>
                <w:szCs w:val="20"/>
                <w:color w:val="auto"/>
              </w:rPr>
            </w:pPr>
            <w:r>
              <w:rPr>
                <w:rFonts w:ascii="Arial" w:cs="Arial" w:eastAsia="Arial" w:hAnsi="Arial"/>
                <w:sz w:val="16"/>
                <w:szCs w:val="16"/>
                <w:color w:val="auto"/>
              </w:rPr>
              <w:t>independence of the board. Our nominating and corporate</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r>
      <w:tr>
        <w:trPr>
          <w:trHeight w:val="189"/>
        </w:trPr>
        <w:tc>
          <w:tcPr>
            <w:tcW w:w="40" w:type="dxa"/>
            <w:vAlign w:val="bottom"/>
          </w:tcPr>
          <w:p>
            <w:pPr>
              <w:spacing w:after="0"/>
              <w:rPr>
                <w:sz w:val="16"/>
                <w:szCs w:val="16"/>
                <w:color w:val="auto"/>
              </w:rPr>
            </w:pPr>
          </w:p>
        </w:tc>
        <w:tc>
          <w:tcPr>
            <w:tcW w:w="4420" w:type="dxa"/>
            <w:vAlign w:val="bottom"/>
          </w:tcPr>
          <w:p>
            <w:pPr>
              <w:ind w:left="40"/>
              <w:spacing w:after="0"/>
              <w:rPr>
                <w:sz w:val="20"/>
                <w:szCs w:val="20"/>
                <w:color w:val="auto"/>
              </w:rPr>
            </w:pPr>
            <w:r>
              <w:rPr>
                <w:rFonts w:ascii="Arial" w:cs="Arial" w:eastAsia="Arial" w:hAnsi="Arial"/>
                <w:sz w:val="16"/>
                <w:szCs w:val="16"/>
                <w:color w:val="auto"/>
              </w:rPr>
              <w:t>potential to encourage excessive risk-taking. Our talent and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ind w:left="60"/>
              <w:spacing w:after="0"/>
              <w:rPr>
                <w:sz w:val="20"/>
                <w:szCs w:val="20"/>
                <w:color w:val="auto"/>
              </w:rPr>
            </w:pPr>
            <w:r>
              <w:rPr>
                <w:rFonts w:ascii="Arial" w:cs="Arial" w:eastAsia="Arial" w:hAnsi="Arial"/>
                <w:sz w:val="16"/>
                <w:szCs w:val="16"/>
                <w:color w:val="auto"/>
              </w:rPr>
              <w:t>governance committee also generally oversees our ESG</w:t>
            </w:r>
          </w:p>
        </w:tc>
        <w:tc>
          <w:tcPr>
            <w:tcW w:w="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4420" w:type="dxa"/>
            <w:vAlign w:val="bottom"/>
          </w:tcPr>
          <w:p>
            <w:pPr>
              <w:ind w:left="40"/>
              <w:spacing w:after="0"/>
              <w:rPr>
                <w:sz w:val="20"/>
                <w:szCs w:val="20"/>
                <w:color w:val="auto"/>
              </w:rPr>
            </w:pPr>
            <w:r>
              <w:rPr>
                <w:rFonts w:ascii="Arial" w:cs="Arial" w:eastAsia="Arial" w:hAnsi="Arial"/>
                <w:sz w:val="16"/>
                <w:szCs w:val="16"/>
                <w:color w:val="auto"/>
              </w:rPr>
              <w:t>compensation committee also oversees our human capital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ind w:left="60"/>
              <w:spacing w:after="0"/>
              <w:rPr>
                <w:sz w:val="20"/>
                <w:szCs w:val="20"/>
                <w:color w:val="auto"/>
              </w:rPr>
            </w:pPr>
            <w:r>
              <w:rPr>
                <w:rFonts w:ascii="Arial" w:cs="Arial" w:eastAsia="Arial" w:hAnsi="Arial"/>
                <w:sz w:val="16"/>
                <w:szCs w:val="16"/>
                <w:color w:val="auto"/>
              </w:rPr>
              <w:t>activities and related risks.</w:t>
            </w:r>
          </w:p>
        </w:tc>
        <w:tc>
          <w:tcPr>
            <w:tcW w:w="60" w:type="dxa"/>
            <w:vAlign w:val="bottom"/>
          </w:tcPr>
          <w:p>
            <w:pPr>
              <w:spacing w:after="0"/>
              <w:rPr>
                <w:sz w:val="16"/>
                <w:szCs w:val="16"/>
                <w:color w:val="auto"/>
              </w:rPr>
            </w:pPr>
          </w:p>
        </w:tc>
      </w:tr>
      <w:tr>
        <w:trPr>
          <w:trHeight w:val="195"/>
        </w:trPr>
        <w:tc>
          <w:tcPr>
            <w:tcW w:w="40" w:type="dxa"/>
            <w:vAlign w:val="bottom"/>
          </w:tcPr>
          <w:p>
            <w:pPr>
              <w:spacing w:after="0"/>
              <w:rPr>
                <w:sz w:val="16"/>
                <w:szCs w:val="16"/>
                <w:color w:val="auto"/>
              </w:rPr>
            </w:pPr>
          </w:p>
        </w:tc>
        <w:tc>
          <w:tcPr>
            <w:tcW w:w="4420" w:type="dxa"/>
            <w:vAlign w:val="bottom"/>
          </w:tcPr>
          <w:p>
            <w:pPr>
              <w:ind w:left="40"/>
              <w:spacing w:after="0"/>
              <w:rPr>
                <w:sz w:val="20"/>
                <w:szCs w:val="20"/>
                <w:color w:val="auto"/>
              </w:rPr>
            </w:pPr>
            <w:r>
              <w:rPr>
                <w:rFonts w:ascii="Arial" w:cs="Arial" w:eastAsia="Arial" w:hAnsi="Arial"/>
                <w:sz w:val="16"/>
                <w:szCs w:val="16"/>
                <w:color w:val="auto"/>
              </w:rPr>
              <w:t>management activities and related risks.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-2181225</wp:posOffset>
            </wp:positionV>
            <wp:extent cx="6077585" cy="2219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7585" cy="22199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266" w:lineRule="exact"/>
        <w:rPr>
          <w:sz w:val="20"/>
          <w:szCs w:val="20"/>
          <w:color w:val="auto"/>
        </w:rPr>
      </w:pPr>
    </w:p>
    <w:p>
      <w:pPr>
        <w:spacing w:after="0"/>
        <w:rPr>
          <w:sz w:val="20"/>
          <w:szCs w:val="20"/>
          <w:color w:val="auto"/>
        </w:rPr>
      </w:pPr>
      <w:r>
        <w:rPr>
          <w:rFonts w:ascii="Arial" w:cs="Arial" w:eastAsia="Arial" w:hAnsi="Arial"/>
          <w:sz w:val="26"/>
          <w:szCs w:val="26"/>
          <w:color w:val="0063A6"/>
        </w:rPr>
        <w:t>Cybersecurity and Data Privacy Governance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Our Guiding Value</w:t>
      </w:r>
    </w:p>
    <w:p>
      <w:pPr>
        <w:spacing w:after="0" w:line="5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Board and Management Oversight</w:t>
      </w:r>
    </w:p>
    <w:p>
      <w:pPr>
        <w:spacing w:after="0" w:line="6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audit committee oversees programs and policies related to cybersecurity risks and initiatives. Our audit committee is comprised entirely of independent directors who evaluate these issues at least quarterly. The board of directors also regularly discusses these issues at least annually and considers them closely both from a risk management perspective and as part of Dropbox’s business strategy.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16 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also established a cross-functional leadership team to oversee our information security and privacy programs and practices, as well as to identify and mitigate security and privacy risks. This team, which reports periodically to the board of directors, audit committee, and members of our senior leadership team, includes senior leaders from our legal, privacy, information security, information technology, infrastructure, and compliance teams, including our Chief Privacy Officer, VP, Security &amp; Platform Abuse, and Chief Legal Officer.</w:t>
      </w:r>
    </w:p>
    <w:p>
      <w:pPr>
        <w:spacing w:after="0" w:line="14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With oversight and guidance provided by the cross-functional leadership team, our information security and privacy teams continually refine our practices to address emerging security risks and changes in privacy regulations.</w:t>
      </w:r>
    </w:p>
    <w:p>
      <w:pPr>
        <w:spacing w:after="0" w:line="1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also established an Office of Data Protection Officer (the “</w:t>
      </w:r>
      <w:r>
        <w:rPr>
          <w:rFonts w:ascii="Arial" w:cs="Arial" w:eastAsia="Arial" w:hAnsi="Arial"/>
          <w:sz w:val="16"/>
          <w:szCs w:val="16"/>
          <w:b w:val="1"/>
          <w:bCs w:val="1"/>
          <w:i w:val="1"/>
          <w:iCs w:val="1"/>
          <w:color w:val="auto"/>
        </w:rPr>
        <w:t>ODPO</w:t>
      </w:r>
      <w:r>
        <w:rPr>
          <w:rFonts w:ascii="Arial" w:cs="Arial" w:eastAsia="Arial" w:hAnsi="Arial"/>
          <w:sz w:val="16"/>
          <w:szCs w:val="16"/>
          <w:color w:val="auto"/>
        </w:rPr>
        <w:t>”) to provide independent oversight of our privacy program and guidance on privacy issues; the ODPO is headed by the VP, Data Protection Officer and acts as the single point of contact for privacy-related requests for users subject to the General Data Protection Regulation, as well as for regulatory authorities. The ODPO reports periodically to management, the board of directors, and the audit committee on privacy risks to provide an independent assessment of our privacy program.</w:t>
      </w:r>
    </w:p>
    <w:p>
      <w:pPr>
        <w:spacing w:after="0" w:line="14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also have a privacy policy that describes how we collect, use, store, share, and protect customer data, as well as how customers can access and manage their personal data. We are committed to upholding the legal protections safeguarding the privacy of our customers’ data as well as outlining our policies and practices pertaining to government requests for customer data; as part of that commitment, we have publicly disclosed our guiding principles in responding to government requests and, since 2012, we have published quantitative data on government requests that we received.</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External Auditing Standards</w:t>
      </w:r>
    </w:p>
    <w:p>
      <w:pPr>
        <w:spacing w:after="0" w:line="66"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Several of our security and privacy management systems are independently examined and/or certified according to internationally recognized standards:</w:t>
      </w:r>
    </w:p>
    <w:p>
      <w:pPr>
        <w:spacing w:after="0" w:line="101" w:lineRule="exact"/>
        <w:rPr>
          <w:sz w:val="20"/>
          <w:szCs w:val="20"/>
          <w:color w:val="auto"/>
        </w:rPr>
      </w:pPr>
    </w:p>
    <w:p>
      <w:pPr>
        <w:ind w:left="640" w:right="420" w:hanging="284"/>
        <w:spacing w:after="0" w:line="260" w:lineRule="auto"/>
        <w:tabs>
          <w:tab w:leader="none" w:pos="64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Our primary information security management system is independently examined on an annual basis and is ISO 27001 certified.</w:t>
      </w:r>
    </w:p>
    <w:p>
      <w:pPr>
        <w:spacing w:after="0" w:line="114" w:lineRule="exact"/>
        <w:rPr>
          <w:rFonts w:ascii="Arial" w:cs="Arial" w:eastAsia="Arial" w:hAnsi="Arial"/>
          <w:sz w:val="16"/>
          <w:szCs w:val="16"/>
          <w:color w:val="0063A6"/>
        </w:rPr>
      </w:pPr>
    </w:p>
    <w:p>
      <w:pPr>
        <w:ind w:left="640" w:right="460" w:hanging="284"/>
        <w:spacing w:after="0" w:line="260" w:lineRule="auto"/>
        <w:tabs>
          <w:tab w:leader="none" w:pos="64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Our primary privacy information management system is independently examined on an annual basis and is ISO 27701 certified.</w:t>
      </w:r>
    </w:p>
    <w:p>
      <w:pPr>
        <w:spacing w:after="0" w:line="100" w:lineRule="exact"/>
        <w:rPr>
          <w:rFonts w:ascii="Arial" w:cs="Arial" w:eastAsia="Arial" w:hAnsi="Arial"/>
          <w:sz w:val="16"/>
          <w:szCs w:val="16"/>
          <w:color w:val="0063A6"/>
        </w:rPr>
      </w:pPr>
    </w:p>
    <w:p>
      <w:pPr>
        <w:ind w:left="640" w:right="820" w:hanging="284"/>
        <w:spacing w:after="0" w:line="260" w:lineRule="auto"/>
        <w:tabs>
          <w:tab w:leader="none" w:pos="64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Our primary cloud security controls are ISO 27017 certified and our cloud privacy and data protection controls are ISO 27018 certified.</w:t>
      </w:r>
    </w:p>
    <w:p>
      <w:pPr>
        <w:spacing w:after="0" w:line="100" w:lineRule="exact"/>
        <w:rPr>
          <w:rFonts w:ascii="Arial" w:cs="Arial" w:eastAsia="Arial" w:hAnsi="Arial"/>
          <w:sz w:val="16"/>
          <w:szCs w:val="16"/>
          <w:color w:val="0063A6"/>
        </w:rPr>
      </w:pPr>
    </w:p>
    <w:p>
      <w:pPr>
        <w:ind w:left="640" w:right="480" w:hanging="284"/>
        <w:spacing w:after="0" w:line="260" w:lineRule="auto"/>
        <w:tabs>
          <w:tab w:leader="none" w:pos="64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Our primary incident-response policies and procedures are examined as part of SOC 2, ISO 27001, and other security assessments.</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Employee Training</w:t>
      </w:r>
    </w:p>
    <w:p>
      <w:pPr>
        <w:spacing w:after="0" w:line="6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All employees are required to complete annual information security and privacy training and to comply with our information security and privacy policies, which are reviewed and updated annually. They also receive ongoing security awareness education via informational emails, talks and presentations, and resources available on our intranet.</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Environmental, Social and Governance Matters</w:t>
      </w:r>
    </w:p>
    <w:p>
      <w:pPr>
        <w:spacing w:after="0" w:line="169"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At Dropbox, our mission is to create a more enlightened way of working. We believe Dropbox’s long-term success will be strengthened by helping to create a more equitable and sustainable world for our stakeholders.</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21" w:name="page22"/>
    <w:bookmarkEnd w:id="21"/>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0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ESG Governance and Oversight</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committees of our board of directors play important roles in overseeing our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379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137985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364"/>
        </w:trPr>
        <w:tc>
          <w:tcPr>
            <w:tcW w:w="60" w:type="dxa"/>
            <w:vAlign w:val="bottom"/>
            <w:shd w:val="clear" w:color="auto" w:fill="E5EFFD"/>
          </w:tcPr>
          <w:p>
            <w:pPr>
              <w:spacing w:after="0"/>
              <w:rPr>
                <w:sz w:val="20"/>
                <w:szCs w:val="20"/>
                <w:color w:val="auto"/>
              </w:rPr>
            </w:pPr>
            <w:r>
              <w:rPr>
                <w:rFonts w:ascii="Arial" w:cs="Arial" w:eastAsia="Arial" w:hAnsi="Arial"/>
                <w:sz w:val="4"/>
                <w:szCs w:val="4"/>
                <w:color w:val="auto"/>
              </w:rPr>
              <w:t>​</w:t>
            </w:r>
          </w:p>
        </w:tc>
        <w:tc>
          <w:tcPr>
            <w:tcW w:w="2860" w:type="dxa"/>
            <w:vAlign w:val="bottom"/>
            <w:shd w:val="clear" w:color="auto" w:fill="E5EFFD"/>
          </w:tcPr>
          <w:p>
            <w:pPr>
              <w:jc w:val="center"/>
              <w:spacing w:after="0"/>
              <w:rPr>
                <w:sz w:val="20"/>
                <w:szCs w:val="20"/>
                <w:color w:val="auto"/>
              </w:rPr>
            </w:pPr>
            <w:r>
              <w:rPr>
                <w:rFonts w:ascii="Arial" w:cs="Arial" w:eastAsia="Arial" w:hAnsi="Arial"/>
                <w:sz w:val="18"/>
                <w:szCs w:val="18"/>
                <w:b w:val="1"/>
                <w:bCs w:val="1"/>
                <w:color w:val="0063A6"/>
              </w:rPr>
              <w:t>Nominating and Corporate</w:t>
            </w:r>
          </w:p>
        </w:tc>
        <w:tc>
          <w:tcPr>
            <w:tcW w:w="100" w:type="dxa"/>
            <w:vAlign w:val="bottom"/>
            <w:shd w:val="clear" w:color="auto" w:fill="E5EFFD"/>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E5EFFD"/>
          </w:tcPr>
          <w:p>
            <w:pPr>
              <w:ind w:left="60"/>
              <w:spacing w:after="0"/>
              <w:rPr>
                <w:sz w:val="20"/>
                <w:szCs w:val="20"/>
                <w:color w:val="auto"/>
              </w:rPr>
            </w:pPr>
            <w:r>
              <w:rPr>
                <w:rFonts w:ascii="Arial" w:cs="Arial" w:eastAsia="Arial" w:hAnsi="Arial"/>
                <w:sz w:val="4"/>
                <w:szCs w:val="4"/>
                <w:color w:val="auto"/>
              </w:rPr>
              <w:t>​</w:t>
            </w:r>
          </w:p>
        </w:tc>
        <w:tc>
          <w:tcPr>
            <w:tcW w:w="3340" w:type="dxa"/>
            <w:vAlign w:val="bottom"/>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 xml:space="preserve">Talent and Compensation Committee </w:t>
            </w:r>
            <w:r>
              <w:rPr>
                <w:rFonts w:ascii="Arial" w:cs="Arial" w:eastAsia="Arial" w:hAnsi="Arial"/>
                <w:sz w:val="3"/>
                <w:szCs w:val="3"/>
                <w:color w:val="000000"/>
                <w:w w:val="99"/>
              </w:rPr>
              <w:t>​</w:t>
            </w:r>
          </w:p>
        </w:tc>
        <w:tc>
          <w:tcPr>
            <w:tcW w:w="120" w:type="dxa"/>
            <w:vAlign w:val="bottom"/>
            <w:shd w:val="clear" w:color="auto" w:fill="E5EFFD"/>
          </w:tcPr>
          <w:p>
            <w:pPr>
              <w:ind w:left="60"/>
              <w:spacing w:after="0"/>
              <w:rPr>
                <w:sz w:val="20"/>
                <w:szCs w:val="20"/>
                <w:color w:val="auto"/>
              </w:rPr>
            </w:pPr>
            <w:r>
              <w:rPr>
                <w:rFonts w:ascii="Arial" w:cs="Arial" w:eastAsia="Arial" w:hAnsi="Arial"/>
                <w:sz w:val="4"/>
                <w:szCs w:val="4"/>
                <w:color w:val="auto"/>
              </w:rPr>
              <w:t>​</w:t>
            </w:r>
          </w:p>
        </w:tc>
        <w:tc>
          <w:tcPr>
            <w:tcW w:w="2920" w:type="dxa"/>
            <w:vAlign w:val="bottom"/>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Audit Committee</w:t>
            </w:r>
          </w:p>
        </w:tc>
        <w:tc>
          <w:tcPr>
            <w:tcW w:w="40" w:type="dxa"/>
            <w:vAlign w:val="bottom"/>
            <w:shd w:val="clear" w:color="auto" w:fill="E5EFFD"/>
          </w:tcPr>
          <w:p>
            <w:pPr>
              <w:spacing w:after="0"/>
              <w:rPr>
                <w:sz w:val="20"/>
                <w:szCs w:val="20"/>
                <w:color w:val="auto"/>
              </w:rPr>
            </w:pPr>
            <w:r>
              <w:rPr>
                <w:rFonts w:ascii="Arial" w:cs="Arial" w:eastAsia="Arial" w:hAnsi="Arial"/>
                <w:sz w:val="4"/>
                <w:szCs w:val="4"/>
                <w:color w:val="auto"/>
              </w:rPr>
              <w:t>​</w:t>
            </w:r>
          </w:p>
        </w:tc>
      </w:tr>
      <w:tr>
        <w:trPr>
          <w:trHeight w:val="243"/>
        </w:trPr>
        <w:tc>
          <w:tcPr>
            <w:tcW w:w="60" w:type="dxa"/>
            <w:vAlign w:val="bottom"/>
            <w:shd w:val="clear" w:color="auto" w:fill="E5EFFD"/>
          </w:tcPr>
          <w:p>
            <w:pPr>
              <w:spacing w:after="0"/>
              <w:rPr>
                <w:sz w:val="21"/>
                <w:szCs w:val="21"/>
                <w:color w:val="auto"/>
              </w:rPr>
            </w:pPr>
          </w:p>
        </w:tc>
        <w:tc>
          <w:tcPr>
            <w:tcW w:w="2860" w:type="dxa"/>
            <w:vAlign w:val="bottom"/>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Governance Committee</w:t>
            </w:r>
          </w:p>
        </w:tc>
        <w:tc>
          <w:tcPr>
            <w:tcW w:w="100" w:type="dxa"/>
            <w:vAlign w:val="bottom"/>
            <w:shd w:val="clear" w:color="auto" w:fill="E5EFFD"/>
          </w:tcPr>
          <w:p>
            <w:pPr>
              <w:spacing w:after="0"/>
              <w:rPr>
                <w:sz w:val="21"/>
                <w:szCs w:val="21"/>
                <w:color w:val="auto"/>
              </w:rPr>
            </w:pPr>
          </w:p>
        </w:tc>
        <w:tc>
          <w:tcPr>
            <w:tcW w:w="120" w:type="dxa"/>
            <w:vAlign w:val="bottom"/>
            <w:shd w:val="clear" w:color="auto" w:fill="E5EFFD"/>
          </w:tcPr>
          <w:p>
            <w:pPr>
              <w:spacing w:after="0"/>
              <w:rPr>
                <w:sz w:val="21"/>
                <w:szCs w:val="21"/>
                <w:color w:val="auto"/>
              </w:rPr>
            </w:pPr>
          </w:p>
        </w:tc>
        <w:tc>
          <w:tcPr>
            <w:tcW w:w="3340" w:type="dxa"/>
            <w:vAlign w:val="bottom"/>
            <w:shd w:val="clear" w:color="auto" w:fill="E5EFFD"/>
          </w:tcPr>
          <w:p>
            <w:pPr>
              <w:spacing w:after="0"/>
              <w:rPr>
                <w:sz w:val="21"/>
                <w:szCs w:val="21"/>
                <w:color w:val="auto"/>
              </w:rPr>
            </w:pPr>
          </w:p>
        </w:tc>
        <w:tc>
          <w:tcPr>
            <w:tcW w:w="120" w:type="dxa"/>
            <w:vAlign w:val="bottom"/>
            <w:shd w:val="clear" w:color="auto" w:fill="E5EFFD"/>
          </w:tcPr>
          <w:p>
            <w:pPr>
              <w:spacing w:after="0"/>
              <w:rPr>
                <w:sz w:val="21"/>
                <w:szCs w:val="21"/>
                <w:color w:val="auto"/>
              </w:rPr>
            </w:pPr>
          </w:p>
        </w:tc>
        <w:tc>
          <w:tcPr>
            <w:tcW w:w="2920" w:type="dxa"/>
            <w:vAlign w:val="bottom"/>
            <w:shd w:val="clear" w:color="auto" w:fill="E5EFFD"/>
          </w:tcPr>
          <w:p>
            <w:pPr>
              <w:spacing w:after="0"/>
              <w:rPr>
                <w:sz w:val="21"/>
                <w:szCs w:val="21"/>
                <w:color w:val="auto"/>
              </w:rPr>
            </w:pPr>
          </w:p>
        </w:tc>
        <w:tc>
          <w:tcPr>
            <w:tcW w:w="40" w:type="dxa"/>
            <w:vAlign w:val="bottom"/>
            <w:shd w:val="clear" w:color="auto" w:fill="E5EFFD"/>
          </w:tcPr>
          <w:p>
            <w:pPr>
              <w:spacing w:after="0"/>
              <w:rPr>
                <w:sz w:val="21"/>
                <w:szCs w:val="21"/>
                <w:color w:val="auto"/>
              </w:rPr>
            </w:pPr>
          </w:p>
        </w:tc>
      </w:tr>
      <w:tr>
        <w:trPr>
          <w:trHeight w:val="366"/>
        </w:trPr>
        <w:tc>
          <w:tcPr>
            <w:tcW w:w="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Our nominating and corporate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6"/>
                <w:szCs w:val="16"/>
                <w:color w:val="auto"/>
              </w:rPr>
              <w:t>Our talent and compensation committee</w:t>
            </w:r>
          </w:p>
        </w:tc>
        <w:tc>
          <w:tcPr>
            <w:tcW w:w="1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rPr>
              <w:t>Our audit committee oversees initiatives</w:t>
            </w:r>
          </w:p>
        </w:tc>
        <w:tc>
          <w:tcPr>
            <w:tcW w:w="40" w:type="dxa"/>
            <w:vAlign w:val="bottom"/>
          </w:tcPr>
          <w:p>
            <w:pPr>
              <w:spacing w:after="0"/>
              <w:rPr>
                <w:sz w:val="24"/>
                <w:szCs w:val="24"/>
                <w:color w:val="auto"/>
              </w:rPr>
            </w:pPr>
          </w:p>
        </w:tc>
      </w:tr>
      <w:tr>
        <w:trPr>
          <w:trHeight w:val="189"/>
        </w:trPr>
        <w:tc>
          <w:tcPr>
            <w:tcW w:w="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governance committee generally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6"/>
                <w:szCs w:val="16"/>
                <w:color w:val="auto"/>
              </w:rPr>
              <w:t>oversees Dropbox’s human capital</w:t>
            </w: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rPr>
              <w:t>related to our operational infrastructure,</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oversees Dropbox’s ESG activities,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6"/>
                <w:szCs w:val="16"/>
                <w:color w:val="auto"/>
              </w:rPr>
              <w:t>management activities.</w:t>
            </w: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w w:val="99"/>
              </w:rPr>
              <w:t>particularly reliability, business</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2860" w:type="dxa"/>
            <w:vAlign w:val="bottom"/>
          </w:tcPr>
          <w:p>
            <w:pPr>
              <w:jc w:val="center"/>
              <w:spacing w:after="0"/>
              <w:rPr>
                <w:sz w:val="20"/>
                <w:szCs w:val="20"/>
                <w:color w:val="auto"/>
              </w:rPr>
            </w:pPr>
            <w:r>
              <w:rPr>
                <w:rFonts w:ascii="Arial" w:cs="Arial" w:eastAsia="Arial" w:hAnsi="Arial"/>
                <w:sz w:val="16"/>
                <w:szCs w:val="16"/>
                <w:color w:val="auto"/>
              </w:rPr>
              <w:t>programs, and disclosures, other than</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3340" w:type="dxa"/>
            <w:vAlign w:val="bottom"/>
          </w:tcPr>
          <w:p>
            <w:pPr>
              <w:ind w:left="328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2920" w:type="dxa"/>
            <w:vAlign w:val="bottom"/>
          </w:tcPr>
          <w:p>
            <w:pPr>
              <w:jc w:val="center"/>
              <w:spacing w:after="0"/>
              <w:rPr>
                <w:sz w:val="20"/>
                <w:szCs w:val="20"/>
                <w:color w:val="auto"/>
              </w:rPr>
            </w:pPr>
            <w:r>
              <w:rPr>
                <w:rFonts w:ascii="Arial" w:cs="Arial" w:eastAsia="Arial" w:hAnsi="Arial"/>
                <w:sz w:val="16"/>
                <w:szCs w:val="16"/>
                <w:color w:val="auto"/>
              </w:rPr>
              <w:t>continuity, cybersecurity, and data</w:t>
            </w:r>
          </w:p>
        </w:tc>
        <w:tc>
          <w:tcPr>
            <w:tcW w:w="40" w:type="dxa"/>
            <w:vAlign w:val="bottom"/>
          </w:tcPr>
          <w:p>
            <w:pPr>
              <w:spacing w:after="0"/>
              <w:rPr>
                <w:sz w:val="20"/>
                <w:szCs w:val="20"/>
                <w:color w:val="auto"/>
              </w:rPr>
            </w:pPr>
            <w:r>
              <w:rPr>
                <w:rFonts w:ascii="Arial" w:cs="Arial" w:eastAsia="Arial" w:hAnsi="Arial"/>
                <w:sz w:val="4"/>
                <w:szCs w:val="4"/>
                <w:color w:val="auto"/>
              </w:rPr>
              <w:t>​</w:t>
            </w:r>
          </w:p>
        </w:tc>
      </w:tr>
      <w:tr>
        <w:trPr>
          <w:trHeight w:val="189"/>
        </w:trPr>
        <w:tc>
          <w:tcPr>
            <w:tcW w:w="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such activities specifically delegated to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rPr>
              <w:t>privacy, and business ethics, as well as</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another standing committee.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rPr>
              <w:t>our enterprise-risk management</w:t>
            </w:r>
          </w:p>
        </w:tc>
        <w:tc>
          <w:tcPr>
            <w:tcW w:w="4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w w:val="99"/>
              </w:rPr>
              <w:t>program.</w:t>
            </w:r>
          </w:p>
        </w:tc>
        <w:tc>
          <w:tcPr>
            <w:tcW w:w="40" w:type="dxa"/>
            <w:vAlign w:val="bottom"/>
          </w:tcPr>
          <w:p>
            <w:pPr>
              <w:spacing w:after="0"/>
              <w:rPr>
                <w:sz w:val="16"/>
                <w:szCs w:val="16"/>
                <w:color w:val="auto"/>
              </w:rPr>
            </w:pPr>
          </w:p>
        </w:tc>
      </w:tr>
    </w:tbl>
    <w:p>
      <w:pPr>
        <w:spacing w:after="0" w:line="224"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Multiple teams, with oversight from our board of directors and its committees, play a role in executing Dropbox’s ESG strategy and programs. Our Social Impact and Sustainability team leads Dropbox’s internal ESG working group, which reports to members of our senior leadership team who are responsible for overseeing the direction of our ESG program.</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Environmental Sustainability</w:t>
      </w:r>
    </w:p>
    <w:p>
      <w:pPr>
        <w:spacing w:after="0" w:line="66" w:lineRule="exact"/>
        <w:rPr>
          <w:sz w:val="20"/>
          <w:szCs w:val="20"/>
          <w:color w:val="auto"/>
        </w:rPr>
      </w:pPr>
    </w:p>
    <w:p>
      <w:pPr>
        <w:ind w:left="284" w:hanging="284"/>
        <w:spacing w:after="0"/>
        <w:tabs>
          <w:tab w:leader="none" w:pos="284"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We have announced company-wide environmental sustainability goals that we plan to accomplish by 2030:</w:t>
      </w:r>
    </w:p>
    <w:p>
      <w:pPr>
        <w:spacing w:after="0" w:line="126" w:lineRule="exact"/>
        <w:rPr>
          <w:rFonts w:ascii="Arial" w:cs="Arial" w:eastAsia="Arial" w:hAnsi="Arial"/>
          <w:sz w:val="16"/>
          <w:szCs w:val="16"/>
          <w:color w:val="0063A6"/>
        </w:rPr>
      </w:pPr>
    </w:p>
    <w:p>
      <w:pPr>
        <w:ind w:left="644" w:hanging="284"/>
        <w:spacing w:after="0"/>
        <w:tabs>
          <w:tab w:leader="none" w:pos="644" w:val="left"/>
        </w:tabs>
        <w:numPr>
          <w:ilvl w:val="1"/>
          <w:numId w:val="26"/>
        </w:numPr>
        <w:rPr>
          <w:rFonts w:ascii="Arial" w:cs="Arial" w:eastAsia="Arial" w:hAnsi="Arial"/>
          <w:sz w:val="16"/>
          <w:szCs w:val="16"/>
          <w:color w:val="0063A6"/>
        </w:rPr>
      </w:pPr>
      <w:r>
        <w:rPr>
          <w:rFonts w:ascii="Arial" w:cs="Arial" w:eastAsia="Arial" w:hAnsi="Arial"/>
          <w:sz w:val="16"/>
          <w:szCs w:val="16"/>
          <w:color w:val="auto"/>
        </w:rPr>
        <w:t>Achieve carbon neutrality with respect to scope 1, scope 2 and scope 3 business travel emissions.</w:t>
      </w:r>
    </w:p>
    <w:p>
      <w:pPr>
        <w:spacing w:after="0" w:line="140" w:lineRule="exact"/>
        <w:rPr>
          <w:rFonts w:ascii="Arial" w:cs="Arial" w:eastAsia="Arial" w:hAnsi="Arial"/>
          <w:sz w:val="16"/>
          <w:szCs w:val="16"/>
          <w:color w:val="0063A6"/>
        </w:rPr>
      </w:pPr>
    </w:p>
    <w:p>
      <w:pPr>
        <w:ind w:left="644" w:hanging="284"/>
        <w:spacing w:after="0"/>
        <w:tabs>
          <w:tab w:leader="none" w:pos="644" w:val="left"/>
        </w:tabs>
        <w:numPr>
          <w:ilvl w:val="1"/>
          <w:numId w:val="26"/>
        </w:numPr>
        <w:rPr>
          <w:rFonts w:ascii="Arial" w:cs="Arial" w:eastAsia="Arial" w:hAnsi="Arial"/>
          <w:sz w:val="16"/>
          <w:szCs w:val="16"/>
          <w:color w:val="0063A6"/>
        </w:rPr>
      </w:pPr>
      <w:r>
        <w:rPr>
          <w:rFonts w:ascii="Arial" w:cs="Arial" w:eastAsia="Arial" w:hAnsi="Arial"/>
          <w:sz w:val="16"/>
          <w:szCs w:val="16"/>
          <w:color w:val="auto"/>
        </w:rPr>
        <w:t>Source 100% renewable electricity for our operations, including our data centers.</w:t>
      </w:r>
    </w:p>
    <w:p>
      <w:pPr>
        <w:spacing w:after="0" w:line="126" w:lineRule="exact"/>
        <w:rPr>
          <w:rFonts w:ascii="Arial" w:cs="Arial" w:eastAsia="Arial" w:hAnsi="Arial"/>
          <w:sz w:val="16"/>
          <w:szCs w:val="16"/>
          <w:color w:val="0063A6"/>
        </w:rPr>
      </w:pPr>
    </w:p>
    <w:p>
      <w:pPr>
        <w:ind w:left="284" w:right="20" w:hanging="284"/>
        <w:spacing w:after="0" w:line="253" w:lineRule="auto"/>
        <w:tabs>
          <w:tab w:leader="none" w:pos="284"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In addition, we are committed to supporting nonprofits focused on sustainability and climate change in partnership with the Dropbox Foundation (the “</w:t>
      </w:r>
      <w:r>
        <w:rPr>
          <w:rFonts w:ascii="Arial" w:cs="Arial" w:eastAsia="Arial" w:hAnsi="Arial"/>
          <w:sz w:val="16"/>
          <w:szCs w:val="16"/>
          <w:b w:val="1"/>
          <w:bCs w:val="1"/>
          <w:i w:val="1"/>
          <w:iCs w:val="1"/>
          <w:color w:val="auto"/>
        </w:rPr>
        <w:t>Foundation</w:t>
      </w:r>
      <w:r>
        <w:rPr>
          <w:rFonts w:ascii="Arial" w:cs="Arial" w:eastAsia="Arial" w:hAnsi="Arial"/>
          <w:sz w:val="16"/>
          <w:szCs w:val="16"/>
          <w:color w:val="auto"/>
        </w:rPr>
        <w:t>”) by empowering our employees to volunteer with organizations focused on environmental sustainability, and supporting internal sustainability employee interest groups.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Social</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Employee Wellness and Development</w:t>
      </w:r>
    </w:p>
    <w:p>
      <w:pPr>
        <w:spacing w:after="0" w:line="183" w:lineRule="exact"/>
        <w:rPr>
          <w:sz w:val="20"/>
          <w:szCs w:val="20"/>
          <w:color w:val="auto"/>
        </w:rPr>
      </w:pPr>
    </w:p>
    <w:p>
      <w:pPr>
        <w:ind w:left="284" w:right="100" w:hanging="284"/>
        <w:spacing w:after="0" w:line="260"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In 2020, we announced our Virtual First work model pursuant to which remote work has become the primary experience for all of our employees; as part of our Virtual First workforce strategy, we strive to support our employees by:</w:t>
      </w:r>
    </w:p>
    <w:p>
      <w:pPr>
        <w:spacing w:after="0" w:line="141" w:lineRule="exact"/>
        <w:rPr>
          <w:rFonts w:ascii="Arial" w:cs="Arial" w:eastAsia="Arial" w:hAnsi="Arial"/>
          <w:sz w:val="16"/>
          <w:szCs w:val="16"/>
          <w:color w:val="0063A6"/>
        </w:rPr>
      </w:pPr>
    </w:p>
    <w:p>
      <w:pPr>
        <w:jc w:val="both"/>
        <w:ind w:left="644" w:right="80" w:hanging="284"/>
        <w:spacing w:after="0" w:line="253" w:lineRule="auto"/>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47" w:lineRule="exact"/>
        <w:rPr>
          <w:rFonts w:ascii="Arial" w:cs="Arial" w:eastAsia="Arial" w:hAnsi="Arial"/>
          <w:sz w:val="16"/>
          <w:szCs w:val="16"/>
          <w:color w:val="0063A6"/>
        </w:rPr>
      </w:pPr>
    </w:p>
    <w:p>
      <w:pPr>
        <w:ind w:left="644" w:hanging="284"/>
        <w:spacing w:after="0"/>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Empowering our employees to adopt flexible working arrangements and providing tools for efficient remote collaboration.</w:t>
      </w:r>
    </w:p>
    <w:p>
      <w:pPr>
        <w:spacing w:after="0" w:line="167" w:lineRule="exact"/>
        <w:rPr>
          <w:rFonts w:ascii="Arial" w:cs="Arial" w:eastAsia="Arial" w:hAnsi="Arial"/>
          <w:sz w:val="16"/>
          <w:szCs w:val="16"/>
          <w:color w:val="0063A6"/>
        </w:rPr>
      </w:pPr>
    </w:p>
    <w:p>
      <w:pPr>
        <w:ind w:left="644" w:right="60" w:hanging="284"/>
        <w:spacing w:after="0" w:line="260" w:lineRule="auto"/>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at our “Dropbox Studios” locations and “On-Demand Spaces” and through team offsites and events.</w:t>
      </w:r>
    </w:p>
    <w:p>
      <w:pPr>
        <w:spacing w:after="0" w:line="141" w:lineRule="exact"/>
        <w:rPr>
          <w:rFonts w:ascii="Arial" w:cs="Arial" w:eastAsia="Arial" w:hAnsi="Arial"/>
          <w:sz w:val="16"/>
          <w:szCs w:val="16"/>
          <w:color w:val="0063A6"/>
        </w:rPr>
      </w:pPr>
    </w:p>
    <w:p>
      <w:pPr>
        <w:ind w:left="284" w:right="180" w:hanging="284"/>
        <w:spacing w:after="0" w:line="260"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paid parental leave for all our employees, as well as mental and physical wellness benefits.</w:t>
      </w:r>
    </w:p>
    <w:p>
      <w:pPr>
        <w:spacing w:after="0" w:line="141" w:lineRule="exact"/>
        <w:rPr>
          <w:rFonts w:ascii="Arial" w:cs="Arial" w:eastAsia="Arial" w:hAnsi="Arial"/>
          <w:sz w:val="16"/>
          <w:szCs w:val="16"/>
          <w:color w:val="0063A6"/>
        </w:rPr>
      </w:pPr>
    </w:p>
    <w:p>
      <w:pPr>
        <w:ind w:left="284" w:right="80" w:hanging="284"/>
        <w:spacing w:after="0" w:line="250" w:lineRule="auto"/>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 w:cs="Arial" w:eastAsia="Arial" w:hAnsi="Arial"/>
          <w:sz w:val="16"/>
          <w:szCs w:val="16"/>
          <w:b w:val="1"/>
          <w:bCs w:val="1"/>
          <w:i w:val="1"/>
          <w:iCs w:val="1"/>
          <w:color w:val="auto"/>
        </w:rPr>
        <w:t>GSOC</w:t>
      </w:r>
      <w:r>
        <w:rPr>
          <w:rFonts w:ascii="Arial" w:cs="Arial" w:eastAsia="Arial" w:hAnsi="Arial"/>
          <w:sz w:val="16"/>
          <w:szCs w:val="16"/>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48" w:lineRule="exact"/>
        <w:rPr>
          <w:rFonts w:ascii="Arial" w:cs="Arial" w:eastAsia="Arial" w:hAnsi="Arial"/>
          <w:sz w:val="16"/>
          <w:szCs w:val="16"/>
          <w:color w:val="0063A6"/>
        </w:rPr>
      </w:pPr>
    </w:p>
    <w:p>
      <w:pPr>
        <w:ind w:left="284" w:hanging="284"/>
        <w:spacing w:after="0"/>
        <w:tabs>
          <w:tab w:leader="none" w:pos="284"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With the shift to our Virtual First work model, we remain committed to supporting their well-being and development:</w:t>
      </w:r>
    </w:p>
    <w:p>
      <w:pPr>
        <w:spacing w:after="0" w:line="167" w:lineRule="exact"/>
        <w:rPr>
          <w:rFonts w:ascii="Arial" w:cs="Arial" w:eastAsia="Arial" w:hAnsi="Arial"/>
          <w:sz w:val="16"/>
          <w:szCs w:val="16"/>
          <w:color w:val="0063A6"/>
        </w:rPr>
      </w:pPr>
    </w:p>
    <w:p>
      <w:pPr>
        <w:ind w:left="644" w:right="400" w:hanging="284"/>
        <w:spacing w:after="0" w:line="260" w:lineRule="auto"/>
        <w:tabs>
          <w:tab w:leader="none" w:pos="644"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We provide subsidized dependent care and access to dependent care resources, as well as supporting flexible working arrangements for our employees with caregiving obligations.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18 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2" w:name="page23"/>
    <w:bookmarkEnd w:id="22"/>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644" w:right="80" w:hanging="284"/>
        <w:spacing w:after="0" w:line="260" w:lineRule="auto"/>
        <w:tabs>
          <w:tab w:leader="none" w:pos="644"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We offer a program to help employees and their dependents manage their mental health through coaching, therapy, and on-demand resources.</w:t>
      </w:r>
    </w:p>
    <w:p>
      <w:pPr>
        <w:spacing w:after="0" w:line="141" w:lineRule="exact"/>
        <w:rPr>
          <w:rFonts w:ascii="Arial" w:cs="Arial" w:eastAsia="Arial" w:hAnsi="Arial"/>
          <w:sz w:val="16"/>
          <w:szCs w:val="16"/>
          <w:color w:val="0063A6"/>
        </w:rPr>
      </w:pPr>
    </w:p>
    <w:p>
      <w:pPr>
        <w:ind w:left="644" w:right="180" w:hanging="284"/>
        <w:spacing w:after="0" w:line="260" w:lineRule="auto"/>
        <w:tabs>
          <w:tab w:leader="none" w:pos="644"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We continue to offer robust learning and development opportunities for our employees and managers, which included skill-building workshops as well as coaching pods to support connection and peer learning in a remote context.</w:t>
      </w:r>
    </w:p>
    <w:p>
      <w:pPr>
        <w:spacing w:after="0" w:line="141" w:lineRule="exact"/>
        <w:rPr>
          <w:rFonts w:ascii="Arial" w:cs="Arial" w:eastAsia="Arial" w:hAnsi="Arial"/>
          <w:sz w:val="16"/>
          <w:szCs w:val="16"/>
          <w:color w:val="0063A6"/>
        </w:rPr>
      </w:pPr>
    </w:p>
    <w:p>
      <w:pPr>
        <w:ind w:left="284" w:right="380" w:hanging="284"/>
        <w:spacing w:after="0" w:line="260" w:lineRule="auto"/>
        <w:tabs>
          <w:tab w:leader="none" w:pos="284"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We conduct a bi-annual employee engagement survey, the results of which are used by management to refine our employee wellness and development initiatives.</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Diversity, Equity and Inclusion</w:t>
      </w:r>
    </w:p>
    <w:p>
      <w:pPr>
        <w:spacing w:after="0" w:line="183" w:lineRule="exact"/>
        <w:rPr>
          <w:sz w:val="20"/>
          <w:szCs w:val="20"/>
          <w:color w:val="auto"/>
        </w:rPr>
      </w:pPr>
    </w:p>
    <w:p>
      <w:pPr>
        <w:ind w:left="284" w:right="20" w:hanging="284"/>
        <w:spacing w:after="0" w:line="260" w:lineRule="auto"/>
        <w:tabs>
          <w:tab w:leader="none" w:pos="284"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provide resources and training to employees at all levels to ensure that we are cultivating diverse and inclusive teams, as well as sponsor a number of professional development opportunities.</w:t>
      </w:r>
    </w:p>
    <w:p>
      <w:pPr>
        <w:spacing w:after="0" w:line="141" w:lineRule="exact"/>
        <w:rPr>
          <w:rFonts w:ascii="Arial" w:cs="Arial" w:eastAsia="Arial" w:hAnsi="Arial"/>
          <w:sz w:val="16"/>
          <w:szCs w:val="16"/>
          <w:color w:val="0063A6"/>
        </w:rPr>
      </w:pPr>
    </w:p>
    <w:p>
      <w:pPr>
        <w:ind w:left="284" w:right="480" w:hanging="284"/>
        <w:spacing w:after="0" w:line="253" w:lineRule="auto"/>
        <w:tabs>
          <w:tab w:leader="none" w:pos="284"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Our Employee Resource Groups, or ERGs, provide support for different identity groups within our workforce by fostering an inclusive environment and providing professional development and community-building opportunities; each ERG has an executive-level sponsor who champions ERG initiatives and programs.</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Social Impact</w:t>
      </w:r>
    </w:p>
    <w:p>
      <w:pPr>
        <w:spacing w:after="0" w:line="183" w:lineRule="exact"/>
        <w:rPr>
          <w:sz w:val="20"/>
          <w:szCs w:val="20"/>
          <w:color w:val="auto"/>
        </w:rPr>
      </w:pPr>
    </w:p>
    <w:p>
      <w:pPr>
        <w:ind w:left="284" w:right="100" w:hanging="284"/>
        <w:spacing w:after="0" w:line="260" w:lineRule="auto"/>
        <w:tabs>
          <w:tab w:leader="none" w:pos="284"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At Dropbox, we’re committed to leveraging our people, products, and resources for good, which we believe positively contributes to our work culture and helps us recruit and retain talented employees.</w:t>
      </w:r>
    </w:p>
    <w:p>
      <w:pPr>
        <w:spacing w:after="0" w:line="141" w:lineRule="exact"/>
        <w:rPr>
          <w:rFonts w:ascii="Arial" w:cs="Arial" w:eastAsia="Arial" w:hAnsi="Arial"/>
          <w:sz w:val="16"/>
          <w:szCs w:val="16"/>
          <w:color w:val="0063A6"/>
        </w:rPr>
      </w:pPr>
    </w:p>
    <w:p>
      <w:pPr>
        <w:ind w:left="284" w:right="80" w:hanging="284"/>
        <w:spacing w:after="0" w:line="253" w:lineRule="auto"/>
        <w:tabs>
          <w:tab w:leader="none" w:pos="284"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partner closely with the Foundation in its work with nonprofit organizations to defend human rights in communities around the world. We encourage Dropbox employees to support these organizations and other causes they’re passionate about through skills-based volunteering, donations, and by raising awareness of their missions through internal talks and other advocacy.</w:t>
      </w:r>
    </w:p>
    <w:p>
      <w:pPr>
        <w:spacing w:after="0" w:line="147" w:lineRule="exact"/>
        <w:rPr>
          <w:rFonts w:ascii="Arial" w:cs="Arial" w:eastAsia="Arial" w:hAnsi="Arial"/>
          <w:sz w:val="16"/>
          <w:szCs w:val="16"/>
          <w:color w:val="0063A6"/>
        </w:rPr>
      </w:pPr>
    </w:p>
    <w:p>
      <w:pPr>
        <w:jc w:val="both"/>
        <w:ind w:left="284" w:right="660" w:hanging="284"/>
        <w:spacing w:after="0" w:line="260" w:lineRule="auto"/>
        <w:tabs>
          <w:tab w:leader="none" w:pos="284"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Accessibility</w:t>
      </w:r>
    </w:p>
    <w:p>
      <w:pPr>
        <w:spacing w:after="0" w:line="183" w:lineRule="exact"/>
        <w:rPr>
          <w:sz w:val="20"/>
          <w:szCs w:val="20"/>
          <w:color w:val="auto"/>
        </w:rPr>
      </w:pPr>
    </w:p>
    <w:p>
      <w:pPr>
        <w:ind w:left="284" w:right="80" w:hanging="284"/>
        <w:spacing w:after="0" w:line="253" w:lineRule="auto"/>
        <w:tabs>
          <w:tab w:leader="none" w:pos="284"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Our mission is to design a more enlightened way of working—for everyone who uses our products. Inclusion is at the heart of our mission. The Dropbox for All initiative is a commitment to making Dropbox more inclusive and broadens the possibilities of who can work together, how they can contribute, and what it means to be part of a team.</w:t>
      </w:r>
    </w:p>
    <w:p>
      <w:pPr>
        <w:spacing w:after="0" w:line="3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Governance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Business Conduct and Ethics; Human and Labor Rights</w:t>
      </w:r>
    </w:p>
    <w:p>
      <w:pPr>
        <w:spacing w:after="0" w:line="163" w:lineRule="exact"/>
        <w:rPr>
          <w:sz w:val="20"/>
          <w:szCs w:val="20"/>
          <w:color w:val="auto"/>
        </w:rPr>
      </w:pPr>
    </w:p>
    <w:p>
      <w:pPr>
        <w:jc w:val="both"/>
        <w:ind w:left="284" w:right="340" w:hanging="284"/>
        <w:spacing w:after="0" w:line="266"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have a Worldwide Code of Business Conduct and Ethics (the “</w:t>
      </w:r>
      <w:r>
        <w:rPr>
          <w:rFonts w:ascii="Arial" w:cs="Arial" w:eastAsia="Arial" w:hAnsi="Arial"/>
          <w:sz w:val="16"/>
          <w:szCs w:val="16"/>
          <w:b w:val="1"/>
          <w:bCs w:val="1"/>
          <w:i w:val="1"/>
          <w:iCs w:val="1"/>
          <w:color w:val="auto"/>
        </w:rPr>
        <w:t>Code of Conduct</w:t>
      </w:r>
      <w:r>
        <w:rPr>
          <w:rFonts w:ascii="Arial" w:cs="Arial" w:eastAsia="Arial" w:hAnsi="Arial"/>
          <w:sz w:val="16"/>
          <w:szCs w:val="16"/>
          <w:color w:val="auto"/>
        </w:rPr>
        <w:t>”) that is applicable to all our employees, officers, directors and independent contractors, as well as written policies addressing insider trading, anti-corruption, financial controls and maintaining confidentiality.</w:t>
      </w:r>
    </w:p>
    <w:p>
      <w:pPr>
        <w:spacing w:after="0" w:line="137" w:lineRule="exact"/>
        <w:rPr>
          <w:rFonts w:ascii="Arial" w:cs="Arial" w:eastAsia="Arial" w:hAnsi="Arial"/>
          <w:sz w:val="16"/>
          <w:szCs w:val="16"/>
          <w:color w:val="0063A6"/>
        </w:rPr>
      </w:pPr>
    </w:p>
    <w:p>
      <w:pPr>
        <w:ind w:left="284" w:hanging="284"/>
        <w:spacing w:after="0"/>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The Code of Conduct and our internal policies are reviewed on an annual basis and updated as necessary.</w:t>
      </w:r>
    </w:p>
    <w:p>
      <w:pPr>
        <w:spacing w:after="0" w:line="167" w:lineRule="exact"/>
        <w:rPr>
          <w:rFonts w:ascii="Arial" w:cs="Arial" w:eastAsia="Arial" w:hAnsi="Arial"/>
          <w:sz w:val="16"/>
          <w:szCs w:val="16"/>
          <w:color w:val="0063A6"/>
        </w:rPr>
      </w:pPr>
    </w:p>
    <w:p>
      <w:pPr>
        <w:ind w:left="284" w:right="600" w:hanging="284"/>
        <w:spacing w:after="0" w:line="260"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of Conduct and related policies on an annual basis; additional trainings on select topics are provided to certain employees based on their roles.</w:t>
      </w:r>
    </w:p>
    <w:p>
      <w:pPr>
        <w:spacing w:after="0" w:line="141" w:lineRule="exact"/>
        <w:rPr>
          <w:rFonts w:ascii="Arial" w:cs="Arial" w:eastAsia="Arial" w:hAnsi="Arial"/>
          <w:sz w:val="16"/>
          <w:szCs w:val="16"/>
          <w:color w:val="0063A6"/>
        </w:rPr>
      </w:pPr>
    </w:p>
    <w:p>
      <w:pPr>
        <w:ind w:left="284" w:right="320" w:hanging="284"/>
        <w:spacing w:after="0" w:line="251"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48" w:lineRule="exact"/>
        <w:rPr>
          <w:rFonts w:ascii="Arial" w:cs="Arial" w:eastAsia="Arial" w:hAnsi="Arial"/>
          <w:sz w:val="16"/>
          <w:szCs w:val="16"/>
          <w:color w:val="0063A6"/>
        </w:rPr>
      </w:pPr>
    </w:p>
    <w:p>
      <w:pPr>
        <w:ind w:left="284" w:right="180" w:hanging="284"/>
        <w:spacing w:after="0" w:line="260" w:lineRule="auto"/>
        <w:tabs>
          <w:tab w:leader="none" w:pos="284"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prohibit all forms of slavery, human trafficking, and discrimination in our operations, and we strive to ensure that our policies and procedures are reflective of our commitment to human and labor rights.</w:t>
      </w:r>
    </w:p>
    <w:p>
      <w:pPr>
        <w:spacing w:after="0" w:line="1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23" w:name="page24"/>
    <w:bookmarkEnd w:id="23"/>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0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84" w:right="20" w:hanging="284"/>
        <w:spacing w:after="0" w:line="260" w:lineRule="auto"/>
        <w:tabs>
          <w:tab w:leader="none" w:pos="284"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Our Supplier Code of Conduct establishes our expectations of a supplier’s commitment to safeguarding human rights in their own operations.</w:t>
      </w:r>
    </w:p>
    <w:p>
      <w:pPr>
        <w:spacing w:after="0" w:line="34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Director Compensation</w:t>
      </w:r>
    </w:p>
    <w:p>
      <w:pPr>
        <w:spacing w:after="0" w:line="169"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auto"/>
        </w:rPr>
        <w:t>We have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initially adopted the director compensation policy in connection with our initial public offering, and we believe the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policy. Our director compensation policy follows the principles listed below.</w:t>
      </w:r>
    </w:p>
    <w:p>
      <w:pPr>
        <w:spacing w:after="0" w:line="75" w:lineRule="exact"/>
        <w:rPr>
          <w:sz w:val="20"/>
          <w:szCs w:val="20"/>
          <w:color w:val="auto"/>
        </w:rPr>
      </w:pPr>
    </w:p>
    <w:tbl>
      <w:tblPr>
        <w:tblLayout w:type="fixed"/>
        <w:tblInd w:w="14" w:type="dxa"/>
        <w:tblCellMar>
          <w:top w:w="0" w:type="dxa"/>
          <w:left w:w="0" w:type="dxa"/>
          <w:bottom w:w="0" w:type="dxa"/>
          <w:right w:w="0" w:type="dxa"/>
        </w:tblCellMar>
      </w:tblPr>
      <w:tr>
        <w:trPr>
          <w:trHeight w:val="298"/>
        </w:trPr>
        <w:tc>
          <w:tcPr>
            <w:tcW w:w="60" w:type="dxa"/>
            <w:vAlign w:val="bottom"/>
            <w:tcBorders>
              <w:left w:val="single" w:sz="8" w:color="0063A6"/>
            </w:tcBorders>
            <w:shd w:val="clear" w:color="auto" w:fill="0063A6"/>
          </w:tcPr>
          <w:p>
            <w:pPr>
              <w:ind w:left="20"/>
              <w:spacing w:after="0"/>
              <w:rPr>
                <w:sz w:val="20"/>
                <w:szCs w:val="20"/>
                <w:color w:val="auto"/>
              </w:rPr>
            </w:pPr>
            <w:r>
              <w:rPr>
                <w:rFonts w:ascii="Arial" w:cs="Arial" w:eastAsia="Arial" w:hAnsi="Arial"/>
                <w:sz w:val="4"/>
                <w:szCs w:val="4"/>
                <w:color w:val="auto"/>
              </w:rPr>
              <w:t>​</w:t>
            </w:r>
          </w:p>
        </w:tc>
        <w:tc>
          <w:tcPr>
            <w:tcW w:w="17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Principle</w:t>
            </w:r>
          </w:p>
        </w:tc>
        <w:tc>
          <w:tcPr>
            <w:tcW w:w="300" w:type="dxa"/>
            <w:vAlign w:val="bottom"/>
            <w:tcBorders>
              <w:right w:val="single" w:sz="8" w:color="0063A6"/>
            </w:tcBorders>
            <w:shd w:val="clear" w:color="auto" w:fill="0063A6"/>
          </w:tcPr>
          <w:p>
            <w:pPr>
              <w:ind w:left="180"/>
              <w:spacing w:after="0"/>
              <w:rPr>
                <w:sz w:val="20"/>
                <w:szCs w:val="20"/>
                <w:color w:val="auto"/>
              </w:rPr>
            </w:pPr>
            <w:r>
              <w:rPr>
                <w:rFonts w:ascii="Arial" w:cs="Arial" w:eastAsia="Arial" w:hAnsi="Arial"/>
                <w:sz w:val="4"/>
                <w:szCs w:val="4"/>
                <w:color w:val="auto"/>
              </w:rPr>
              <w:t>​</w:t>
            </w:r>
          </w:p>
        </w:tc>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73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Description</w:t>
            </w:r>
          </w:p>
        </w:tc>
        <w:tc>
          <w:tcPr>
            <w:tcW w:w="60" w:type="dxa"/>
            <w:vAlign w:val="bottom"/>
            <w:tcBorders>
              <w:right w:val="single" w:sz="8" w:color="0063A6"/>
            </w:tcBorders>
            <w:shd w:val="clear" w:color="auto" w:fill="0063A6"/>
          </w:tcPr>
          <w:p>
            <w:pPr>
              <w:ind w:left="20"/>
              <w:spacing w:after="0"/>
              <w:rPr>
                <w:sz w:val="20"/>
                <w:szCs w:val="20"/>
                <w:color w:val="auto"/>
              </w:rPr>
            </w:pPr>
            <w:r>
              <w:rPr>
                <w:rFonts w:ascii="Arial" w:cs="Arial" w:eastAsia="Arial" w:hAnsi="Arial"/>
                <w:sz w:val="2"/>
                <w:szCs w:val="2"/>
                <w:color w:val="auto"/>
                <w:w w:val="4294942296"/>
              </w:rPr>
              <w:t>​</w:t>
            </w:r>
          </w:p>
        </w:tc>
      </w:tr>
      <w:tr>
        <w:trPr>
          <w:trHeight w:val="66"/>
        </w:trPr>
        <w:tc>
          <w:tcPr>
            <w:tcW w:w="60" w:type="dxa"/>
            <w:vAlign w:val="bottom"/>
            <w:tcBorders>
              <w:left w:val="single" w:sz="8" w:color="0063A6"/>
            </w:tcBorders>
            <w:shd w:val="clear" w:color="auto" w:fill="0063A6"/>
          </w:tcPr>
          <w:p>
            <w:pPr>
              <w:spacing w:after="0"/>
              <w:rPr>
                <w:sz w:val="5"/>
                <w:szCs w:val="5"/>
                <w:color w:val="auto"/>
              </w:rPr>
            </w:pPr>
          </w:p>
        </w:tc>
        <w:tc>
          <w:tcPr>
            <w:tcW w:w="1760" w:type="dxa"/>
            <w:vAlign w:val="bottom"/>
            <w:shd w:val="clear" w:color="auto" w:fill="0063A6"/>
          </w:tcPr>
          <w:p>
            <w:pPr>
              <w:spacing w:after="0"/>
              <w:rPr>
                <w:sz w:val="5"/>
                <w:szCs w:val="5"/>
                <w:color w:val="auto"/>
              </w:rPr>
            </w:pPr>
          </w:p>
        </w:tc>
        <w:tc>
          <w:tcPr>
            <w:tcW w:w="300" w:type="dxa"/>
            <w:vAlign w:val="bottom"/>
            <w:tcBorders>
              <w:right w:val="single" w:sz="8" w:color="0063A6"/>
            </w:tcBorders>
            <w:shd w:val="clear" w:color="auto" w:fill="0063A6"/>
          </w:tcPr>
          <w:p>
            <w:pPr>
              <w:spacing w:after="0"/>
              <w:rPr>
                <w:sz w:val="5"/>
                <w:szCs w:val="5"/>
                <w:color w:val="auto"/>
              </w:rPr>
            </w:pPr>
          </w:p>
        </w:tc>
        <w:tc>
          <w:tcPr>
            <w:tcW w:w="40" w:type="dxa"/>
            <w:vAlign w:val="bottom"/>
            <w:shd w:val="clear" w:color="auto" w:fill="0063A6"/>
          </w:tcPr>
          <w:p>
            <w:pPr>
              <w:spacing w:after="0"/>
              <w:rPr>
                <w:sz w:val="5"/>
                <w:szCs w:val="5"/>
                <w:color w:val="auto"/>
              </w:rPr>
            </w:pPr>
          </w:p>
        </w:tc>
        <w:tc>
          <w:tcPr>
            <w:tcW w:w="7340" w:type="dxa"/>
            <w:vAlign w:val="bottom"/>
            <w:shd w:val="clear" w:color="auto" w:fill="0063A6"/>
          </w:tcPr>
          <w:p>
            <w:pPr>
              <w:spacing w:after="0"/>
              <w:rPr>
                <w:sz w:val="5"/>
                <w:szCs w:val="5"/>
                <w:color w:val="auto"/>
              </w:rPr>
            </w:pPr>
          </w:p>
        </w:tc>
        <w:tc>
          <w:tcPr>
            <w:tcW w:w="60" w:type="dxa"/>
            <w:vAlign w:val="bottom"/>
            <w:tcBorders>
              <w:right w:val="single" w:sz="8" w:color="0063A6"/>
            </w:tcBorders>
            <w:shd w:val="clear" w:color="auto" w:fill="0063A6"/>
          </w:tcPr>
          <w:p>
            <w:pPr>
              <w:spacing w:after="0"/>
              <w:rPr>
                <w:sz w:val="5"/>
                <w:szCs w:val="5"/>
                <w:color w:val="auto"/>
              </w:rPr>
            </w:pPr>
          </w:p>
        </w:tc>
      </w:tr>
      <w:tr>
        <w:trPr>
          <w:trHeight w:val="258"/>
        </w:trPr>
        <w:tc>
          <w:tcPr>
            <w:tcW w:w="6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Pay Mix</w:t>
            </w:r>
          </w:p>
        </w:tc>
        <w:tc>
          <w:tcPr>
            <w:tcW w:w="300" w:type="dxa"/>
            <w:vAlign w:val="bottom"/>
            <w:tcBorders>
              <w:right w:val="single" w:sz="8" w:color="0063A6"/>
            </w:tcBorders>
          </w:tcPr>
          <w:p>
            <w:pPr>
              <w:ind w:left="18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7340" w:type="dxa"/>
            <w:vAlign w:val="bottom"/>
          </w:tcPr>
          <w:p>
            <w:pPr>
              <w:ind w:left="60"/>
              <w:spacing w:after="0"/>
              <w:rPr>
                <w:sz w:val="20"/>
                <w:szCs w:val="20"/>
                <w:color w:val="auto"/>
              </w:rPr>
            </w:pPr>
            <w:r>
              <w:rPr>
                <w:rFonts w:ascii="Arial" w:cs="Arial" w:eastAsia="Arial" w:hAnsi="Arial"/>
                <w:sz w:val="16"/>
                <w:szCs w:val="16"/>
                <w:color w:val="auto"/>
              </w:rPr>
              <w:t>Our director compensation policy consists of a balance of cash and equity, with an emphasis on</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95"/>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equity over cash, in order to better align the interests of our directors with that of our stockholders.</w:t>
            </w:r>
          </w:p>
        </w:tc>
        <w:tc>
          <w:tcPr>
            <w:tcW w:w="60" w:type="dxa"/>
            <w:vAlign w:val="bottom"/>
            <w:tcBorders>
              <w:right w:val="single" w:sz="8" w:color="0063A6"/>
            </w:tcBorders>
          </w:tcPr>
          <w:p>
            <w:pPr>
              <w:spacing w:after="0"/>
              <w:rPr>
                <w:sz w:val="16"/>
                <w:szCs w:val="16"/>
                <w:color w:val="auto"/>
              </w:rPr>
            </w:pPr>
          </w:p>
        </w:tc>
      </w:tr>
      <w:tr>
        <w:trPr>
          <w:trHeight w:val="60"/>
        </w:trPr>
        <w:tc>
          <w:tcPr>
            <w:tcW w:w="60" w:type="dxa"/>
            <w:vAlign w:val="bottom"/>
            <w:tcBorders>
              <w:left w:val="single" w:sz="8" w:color="0063A6"/>
              <w:bottom w:val="single" w:sz="8" w:color="0063A6"/>
            </w:tcBorders>
          </w:tcPr>
          <w:p>
            <w:pPr>
              <w:spacing w:after="0"/>
              <w:rPr>
                <w:sz w:val="5"/>
                <w:szCs w:val="5"/>
                <w:color w:val="auto"/>
              </w:rPr>
            </w:pPr>
          </w:p>
        </w:tc>
        <w:tc>
          <w:tcPr>
            <w:tcW w:w="1760" w:type="dxa"/>
            <w:vAlign w:val="bottom"/>
            <w:tcBorders>
              <w:bottom w:val="single" w:sz="8" w:color="0063A6"/>
            </w:tcBorders>
          </w:tcPr>
          <w:p>
            <w:pPr>
              <w:spacing w:after="0"/>
              <w:rPr>
                <w:sz w:val="5"/>
                <w:szCs w:val="5"/>
                <w:color w:val="auto"/>
              </w:rPr>
            </w:pPr>
          </w:p>
        </w:tc>
        <w:tc>
          <w:tcPr>
            <w:tcW w:w="300" w:type="dxa"/>
            <w:vAlign w:val="bottom"/>
            <w:tcBorders>
              <w:bottom w:val="single" w:sz="8" w:color="0063A6"/>
              <w:right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7340" w:type="dxa"/>
            <w:vAlign w:val="bottom"/>
            <w:tcBorders>
              <w:bottom w:val="single" w:sz="8" w:color="0063A6"/>
            </w:tcBorders>
          </w:tcPr>
          <w:p>
            <w:pPr>
              <w:spacing w:after="0"/>
              <w:rPr>
                <w:sz w:val="5"/>
                <w:szCs w:val="5"/>
                <w:color w:val="auto"/>
              </w:rPr>
            </w:pPr>
          </w:p>
        </w:tc>
        <w:tc>
          <w:tcPr>
            <w:tcW w:w="60" w:type="dxa"/>
            <w:vAlign w:val="bottom"/>
            <w:tcBorders>
              <w:bottom w:val="single" w:sz="8" w:color="0063A6"/>
              <w:right w:val="single" w:sz="8" w:color="0063A6"/>
            </w:tcBorders>
          </w:tcPr>
          <w:p>
            <w:pPr>
              <w:spacing w:after="0"/>
              <w:rPr>
                <w:sz w:val="5"/>
                <w:szCs w:val="5"/>
                <w:color w:val="auto"/>
              </w:rPr>
            </w:pPr>
          </w:p>
        </w:tc>
      </w:tr>
      <w:tr>
        <w:trPr>
          <w:trHeight w:val="232"/>
        </w:trPr>
        <w:tc>
          <w:tcPr>
            <w:tcW w:w="60" w:type="dxa"/>
            <w:vAlign w:val="bottom"/>
            <w:tcBorders>
              <w:left w:val="single" w:sz="8" w:color="0063A6"/>
            </w:tcBorders>
          </w:tcPr>
          <w:p>
            <w:pPr>
              <w:spacing w:after="0"/>
              <w:rPr>
                <w:sz w:val="20"/>
                <w:szCs w:val="20"/>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Total Compensation</w:t>
            </w:r>
          </w:p>
        </w:tc>
        <w:tc>
          <w:tcPr>
            <w:tcW w:w="300" w:type="dxa"/>
            <w:vAlign w:val="bottom"/>
            <w:tcBorders>
              <w:right w:val="single" w:sz="8" w:color="0063A6"/>
            </w:tcBorders>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Our director compensation policy includes a maximum annual limit of $1,200,000 of cash</w:t>
            </w:r>
          </w:p>
        </w:tc>
        <w:tc>
          <w:tcPr>
            <w:tcW w:w="60" w:type="dxa"/>
            <w:vAlign w:val="bottom"/>
            <w:tcBorders>
              <w:right w:val="single" w:sz="8" w:color="0063A6"/>
            </w:tcBorders>
          </w:tcPr>
          <w:p>
            <w:pPr>
              <w:spacing w:after="0"/>
              <w:rPr>
                <w:sz w:val="20"/>
                <w:szCs w:val="20"/>
                <w:color w:val="auto"/>
              </w:rPr>
            </w:pPr>
          </w:p>
        </w:tc>
      </w:tr>
      <w:tr>
        <w:trPr>
          <w:trHeight w:val="209"/>
        </w:trPr>
        <w:tc>
          <w:tcPr>
            <w:tcW w:w="60" w:type="dxa"/>
            <w:vAlign w:val="bottom"/>
            <w:tcBorders>
              <w:left w:val="single" w:sz="8" w:color="0063A6"/>
            </w:tcBorders>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Limit</w:t>
            </w:r>
          </w:p>
        </w:tc>
        <w:tc>
          <w:tcPr>
            <w:tcW w:w="3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compensation and equity awards that may be paid, issued, or granted to a non-employee director in</w:t>
            </w:r>
          </w:p>
        </w:tc>
        <w:tc>
          <w:tcPr>
            <w:tcW w:w="60" w:type="dxa"/>
            <w:vAlign w:val="bottom"/>
            <w:tcBorders>
              <w:right w:val="single" w:sz="8" w:color="0063A6"/>
            </w:tcBorders>
          </w:tcPr>
          <w:p>
            <w:pPr>
              <w:spacing w:after="0"/>
              <w:rPr>
                <w:sz w:val="18"/>
                <w:szCs w:val="18"/>
                <w:color w:val="auto"/>
              </w:rPr>
            </w:pPr>
          </w:p>
        </w:tc>
      </w:tr>
      <w:tr>
        <w:trPr>
          <w:trHeight w:val="189"/>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any fiscal year. The maximum limit does not reflect the intended size of any potential compensation or</w:t>
            </w:r>
          </w:p>
        </w:tc>
        <w:tc>
          <w:tcPr>
            <w:tcW w:w="60" w:type="dxa"/>
            <w:vAlign w:val="bottom"/>
            <w:tcBorders>
              <w:right w:val="single" w:sz="8" w:color="0063A6"/>
            </w:tcBorders>
          </w:tcPr>
          <w:p>
            <w:pPr>
              <w:spacing w:after="0"/>
              <w:rPr>
                <w:sz w:val="16"/>
                <w:szCs w:val="16"/>
                <w:color w:val="auto"/>
              </w:rPr>
            </w:pPr>
          </w:p>
        </w:tc>
      </w:tr>
      <w:tr>
        <w:trPr>
          <w:trHeight w:val="189"/>
        </w:trPr>
        <w:tc>
          <w:tcPr>
            <w:tcW w:w="6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1760" w:type="dxa"/>
            <w:vAlign w:val="bottom"/>
          </w:tcPr>
          <w:p>
            <w:pPr>
              <w:spacing w:after="0"/>
              <w:rPr>
                <w:sz w:val="16"/>
                <w:szCs w:val="16"/>
                <w:color w:val="auto"/>
              </w:rPr>
            </w:pPr>
          </w:p>
        </w:tc>
        <w:tc>
          <w:tcPr>
            <w:tcW w:w="300" w:type="dxa"/>
            <w:vAlign w:val="bottom"/>
            <w:tcBorders>
              <w:right w:val="single" w:sz="8" w:color="0063A6"/>
            </w:tcBorders>
          </w:tcPr>
          <w:p>
            <w:pPr>
              <w:ind w:left="18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7340" w:type="dxa"/>
            <w:vAlign w:val="bottom"/>
          </w:tcPr>
          <w:p>
            <w:pPr>
              <w:ind w:left="60"/>
              <w:spacing w:after="0"/>
              <w:rPr>
                <w:sz w:val="20"/>
                <w:szCs w:val="20"/>
                <w:color w:val="auto"/>
              </w:rPr>
            </w:pPr>
            <w:r>
              <w:rPr>
                <w:rFonts w:ascii="Arial" w:cs="Arial" w:eastAsia="Arial" w:hAnsi="Arial"/>
                <w:sz w:val="16"/>
                <w:szCs w:val="16"/>
                <w:color w:val="auto"/>
              </w:rPr>
              <w:t>equity awards to our non-employee directors. Any cash compensation paid or equity awards granted</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89"/>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to a person for his or her services as an employee, or for his or her services as a consultant (other</w:t>
            </w:r>
          </w:p>
        </w:tc>
        <w:tc>
          <w:tcPr>
            <w:tcW w:w="60" w:type="dxa"/>
            <w:vAlign w:val="bottom"/>
            <w:tcBorders>
              <w:right w:val="single" w:sz="8" w:color="0063A6"/>
            </w:tcBorders>
          </w:tcPr>
          <w:p>
            <w:pPr>
              <w:spacing w:after="0"/>
              <w:rPr>
                <w:sz w:val="16"/>
                <w:szCs w:val="16"/>
                <w:color w:val="auto"/>
              </w:rPr>
            </w:pPr>
          </w:p>
        </w:tc>
      </w:tr>
      <w:tr>
        <w:trPr>
          <w:trHeight w:val="189"/>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than as a non-employee director), will not count for purposes of the limitation. For purposes of this</w:t>
            </w:r>
          </w:p>
        </w:tc>
        <w:tc>
          <w:tcPr>
            <w:tcW w:w="60" w:type="dxa"/>
            <w:vAlign w:val="bottom"/>
            <w:tcBorders>
              <w:right w:val="single" w:sz="8" w:color="0063A6"/>
            </w:tcBorders>
          </w:tcPr>
          <w:p>
            <w:pPr>
              <w:spacing w:after="0"/>
              <w:rPr>
                <w:sz w:val="16"/>
                <w:szCs w:val="16"/>
                <w:color w:val="auto"/>
              </w:rPr>
            </w:pPr>
          </w:p>
        </w:tc>
      </w:tr>
      <w:tr>
        <w:trPr>
          <w:trHeight w:val="169"/>
        </w:trPr>
        <w:tc>
          <w:tcPr>
            <w:tcW w:w="60" w:type="dxa"/>
            <w:vAlign w:val="bottom"/>
            <w:tcBorders>
              <w:left w:val="single" w:sz="8" w:color="0063A6"/>
            </w:tcBorders>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right w:val="single" w:sz="8" w:color="0063A6"/>
            </w:tcBorders>
          </w:tcPr>
          <w:p>
            <w:pPr>
              <w:spacing w:after="0"/>
              <w:rPr>
                <w:sz w:val="14"/>
                <w:szCs w:val="14"/>
                <w:color w:val="auto"/>
              </w:rPr>
            </w:pPr>
          </w:p>
        </w:tc>
        <w:tc>
          <w:tcPr>
            <w:tcW w:w="40" w:type="dxa"/>
            <w:vAlign w:val="bottom"/>
          </w:tcPr>
          <w:p>
            <w:pPr>
              <w:spacing w:after="0"/>
              <w:rPr>
                <w:sz w:val="14"/>
                <w:szCs w:val="14"/>
                <w:color w:val="auto"/>
              </w:rPr>
            </w:pPr>
          </w:p>
        </w:tc>
        <w:tc>
          <w:tcPr>
            <w:tcW w:w="7340" w:type="dxa"/>
            <w:vAlign w:val="bottom"/>
          </w:tcPr>
          <w:p>
            <w:pPr>
              <w:ind w:left="60"/>
              <w:spacing w:after="0" w:line="169" w:lineRule="exact"/>
              <w:rPr>
                <w:sz w:val="20"/>
                <w:szCs w:val="20"/>
                <w:color w:val="auto"/>
              </w:rPr>
            </w:pPr>
            <w:r>
              <w:rPr>
                <w:rFonts w:ascii="Arial" w:cs="Arial" w:eastAsia="Arial" w:hAnsi="Arial"/>
                <w:sz w:val="16"/>
                <w:szCs w:val="16"/>
                <w:color w:val="auto"/>
              </w:rPr>
              <w:t>limitation, the value of equity awards is based on the grant date fair value (determined in accordance</w:t>
            </w:r>
          </w:p>
        </w:tc>
        <w:tc>
          <w:tcPr>
            <w:tcW w:w="60" w:type="dxa"/>
            <w:vAlign w:val="bottom"/>
            <w:tcBorders>
              <w:right w:val="single" w:sz="8" w:color="0063A6"/>
            </w:tcBorders>
          </w:tcPr>
          <w:p>
            <w:pPr>
              <w:spacing w:after="0"/>
              <w:rPr>
                <w:sz w:val="14"/>
                <w:szCs w:val="14"/>
                <w:color w:val="auto"/>
              </w:rPr>
            </w:pPr>
          </w:p>
        </w:tc>
      </w:tr>
      <w:tr>
        <w:trPr>
          <w:trHeight w:val="215"/>
        </w:trPr>
        <w:tc>
          <w:tcPr>
            <w:tcW w:w="60" w:type="dxa"/>
            <w:vAlign w:val="bottom"/>
            <w:tcBorders>
              <w:left w:val="single" w:sz="8" w:color="0063A6"/>
            </w:tcBorders>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c>
          <w:tcPr>
            <w:tcW w:w="60" w:type="dxa"/>
            <w:vAlign w:val="bottom"/>
            <w:tcBorders>
              <w:right w:val="single" w:sz="8" w:color="0063A6"/>
            </w:tcBorders>
          </w:tcPr>
          <w:p>
            <w:pPr>
              <w:spacing w:after="0"/>
              <w:rPr>
                <w:sz w:val="18"/>
                <w:szCs w:val="18"/>
                <w:color w:val="auto"/>
              </w:rPr>
            </w:pPr>
          </w:p>
        </w:tc>
      </w:tr>
      <w:tr>
        <w:trPr>
          <w:trHeight w:val="60"/>
        </w:trPr>
        <w:tc>
          <w:tcPr>
            <w:tcW w:w="60" w:type="dxa"/>
            <w:vAlign w:val="bottom"/>
            <w:tcBorders>
              <w:left w:val="single" w:sz="8" w:color="0063A6"/>
              <w:bottom w:val="single" w:sz="8" w:color="0063A6"/>
            </w:tcBorders>
          </w:tcPr>
          <w:p>
            <w:pPr>
              <w:spacing w:after="0"/>
              <w:rPr>
                <w:sz w:val="5"/>
                <w:szCs w:val="5"/>
                <w:color w:val="auto"/>
              </w:rPr>
            </w:pPr>
          </w:p>
        </w:tc>
        <w:tc>
          <w:tcPr>
            <w:tcW w:w="1760" w:type="dxa"/>
            <w:vAlign w:val="bottom"/>
            <w:tcBorders>
              <w:bottom w:val="single" w:sz="8" w:color="0063A6"/>
            </w:tcBorders>
          </w:tcPr>
          <w:p>
            <w:pPr>
              <w:spacing w:after="0"/>
              <w:rPr>
                <w:sz w:val="5"/>
                <w:szCs w:val="5"/>
                <w:color w:val="auto"/>
              </w:rPr>
            </w:pPr>
          </w:p>
        </w:tc>
        <w:tc>
          <w:tcPr>
            <w:tcW w:w="300" w:type="dxa"/>
            <w:vAlign w:val="bottom"/>
            <w:tcBorders>
              <w:bottom w:val="single" w:sz="8" w:color="0063A6"/>
              <w:right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7340" w:type="dxa"/>
            <w:vAlign w:val="bottom"/>
            <w:tcBorders>
              <w:bottom w:val="single" w:sz="8" w:color="0063A6"/>
            </w:tcBorders>
          </w:tcPr>
          <w:p>
            <w:pPr>
              <w:spacing w:after="0"/>
              <w:rPr>
                <w:sz w:val="5"/>
                <w:szCs w:val="5"/>
                <w:color w:val="auto"/>
              </w:rPr>
            </w:pPr>
          </w:p>
        </w:tc>
        <w:tc>
          <w:tcPr>
            <w:tcW w:w="60" w:type="dxa"/>
            <w:vAlign w:val="bottom"/>
            <w:tcBorders>
              <w:bottom w:val="single" w:sz="8" w:color="0063A6"/>
              <w:right w:val="single" w:sz="8" w:color="0063A6"/>
            </w:tcBorders>
          </w:tcPr>
          <w:p>
            <w:pPr>
              <w:spacing w:after="0"/>
              <w:rPr>
                <w:sz w:val="5"/>
                <w:szCs w:val="5"/>
                <w:color w:val="auto"/>
              </w:rPr>
            </w:pPr>
          </w:p>
        </w:tc>
      </w:tr>
      <w:tr>
        <w:trPr>
          <w:trHeight w:val="252"/>
        </w:trPr>
        <w:tc>
          <w:tcPr>
            <w:tcW w:w="60" w:type="dxa"/>
            <w:vAlign w:val="bottom"/>
            <w:tcBorders>
              <w:left w:val="single" w:sz="8" w:color="0063A6"/>
            </w:tcBorders>
          </w:tcPr>
          <w:p>
            <w:pPr>
              <w:spacing w:after="0"/>
              <w:rPr>
                <w:sz w:val="21"/>
                <w:szCs w:val="21"/>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Regular Review</w:t>
            </w:r>
          </w:p>
        </w:tc>
        <w:tc>
          <w:tcPr>
            <w:tcW w:w="300" w:type="dxa"/>
            <w:vAlign w:val="bottom"/>
            <w:tcBorders>
              <w:right w:val="single" w:sz="8" w:color="0063A6"/>
            </w:tcBorders>
          </w:tcPr>
          <w:p>
            <w:pPr>
              <w:spacing w:after="0"/>
              <w:rPr>
                <w:sz w:val="21"/>
                <w:szCs w:val="21"/>
                <w:color w:val="auto"/>
              </w:rPr>
            </w:pPr>
          </w:p>
        </w:tc>
        <w:tc>
          <w:tcPr>
            <w:tcW w:w="40" w:type="dxa"/>
            <w:vAlign w:val="bottom"/>
          </w:tcPr>
          <w:p>
            <w:pPr>
              <w:spacing w:after="0"/>
              <w:rPr>
                <w:sz w:val="21"/>
                <w:szCs w:val="21"/>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With advice from Compensia, our talent and compensation committee regularly reviews the amount</w:t>
            </w:r>
          </w:p>
        </w:tc>
        <w:tc>
          <w:tcPr>
            <w:tcW w:w="60" w:type="dxa"/>
            <w:vAlign w:val="bottom"/>
            <w:tcBorders>
              <w:right w:val="single" w:sz="8" w:color="0063A6"/>
            </w:tcBorders>
          </w:tcPr>
          <w:p>
            <w:pPr>
              <w:spacing w:after="0"/>
              <w:rPr>
                <w:sz w:val="21"/>
                <w:szCs w:val="21"/>
                <w:color w:val="auto"/>
              </w:rPr>
            </w:pPr>
          </w:p>
        </w:tc>
      </w:tr>
      <w:tr>
        <w:trPr>
          <w:trHeight w:val="189"/>
        </w:trPr>
        <w:tc>
          <w:tcPr>
            <w:tcW w:w="6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1760" w:type="dxa"/>
            <w:vAlign w:val="bottom"/>
          </w:tcPr>
          <w:p>
            <w:pPr>
              <w:spacing w:after="0"/>
              <w:rPr>
                <w:sz w:val="16"/>
                <w:szCs w:val="16"/>
                <w:color w:val="auto"/>
              </w:rPr>
            </w:pPr>
          </w:p>
        </w:tc>
        <w:tc>
          <w:tcPr>
            <w:tcW w:w="300" w:type="dxa"/>
            <w:vAlign w:val="bottom"/>
            <w:tcBorders>
              <w:right w:val="single" w:sz="8" w:color="0063A6"/>
            </w:tcBorders>
          </w:tcPr>
          <w:p>
            <w:pPr>
              <w:ind w:left="18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7340" w:type="dxa"/>
            <w:vAlign w:val="bottom"/>
          </w:tcPr>
          <w:p>
            <w:pPr>
              <w:ind w:left="60"/>
              <w:spacing w:after="0"/>
              <w:rPr>
                <w:sz w:val="20"/>
                <w:szCs w:val="20"/>
                <w:color w:val="auto"/>
              </w:rPr>
            </w:pPr>
            <w:r>
              <w:rPr>
                <w:rFonts w:ascii="Arial" w:cs="Arial" w:eastAsia="Arial" w:hAnsi="Arial"/>
                <w:sz w:val="16"/>
                <w:szCs w:val="16"/>
                <w:color w:val="auto"/>
              </w:rPr>
              <w:t>and form of director compensation to ensure consistency with prudent governance practices and</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95"/>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comparability with our peer group.</w:t>
            </w:r>
          </w:p>
        </w:tc>
        <w:tc>
          <w:tcPr>
            <w:tcW w:w="60" w:type="dxa"/>
            <w:vAlign w:val="bottom"/>
            <w:tcBorders>
              <w:right w:val="single" w:sz="8" w:color="0063A6"/>
            </w:tcBorders>
          </w:tcPr>
          <w:p>
            <w:pPr>
              <w:spacing w:after="0"/>
              <w:rPr>
                <w:sz w:val="16"/>
                <w:szCs w:val="16"/>
                <w:color w:val="auto"/>
              </w:rPr>
            </w:pPr>
          </w:p>
        </w:tc>
      </w:tr>
      <w:tr>
        <w:trPr>
          <w:trHeight w:val="60"/>
        </w:trPr>
        <w:tc>
          <w:tcPr>
            <w:tcW w:w="60" w:type="dxa"/>
            <w:vAlign w:val="bottom"/>
            <w:tcBorders>
              <w:left w:val="single" w:sz="8" w:color="0063A6"/>
              <w:bottom w:val="single" w:sz="8" w:color="0063A6"/>
            </w:tcBorders>
          </w:tcPr>
          <w:p>
            <w:pPr>
              <w:spacing w:after="0"/>
              <w:rPr>
                <w:sz w:val="5"/>
                <w:szCs w:val="5"/>
                <w:color w:val="auto"/>
              </w:rPr>
            </w:pPr>
          </w:p>
        </w:tc>
        <w:tc>
          <w:tcPr>
            <w:tcW w:w="1760" w:type="dxa"/>
            <w:vAlign w:val="bottom"/>
            <w:tcBorders>
              <w:bottom w:val="single" w:sz="8" w:color="0063A6"/>
            </w:tcBorders>
          </w:tcPr>
          <w:p>
            <w:pPr>
              <w:spacing w:after="0"/>
              <w:rPr>
                <w:sz w:val="5"/>
                <w:szCs w:val="5"/>
                <w:color w:val="auto"/>
              </w:rPr>
            </w:pPr>
          </w:p>
        </w:tc>
        <w:tc>
          <w:tcPr>
            <w:tcW w:w="300" w:type="dxa"/>
            <w:vAlign w:val="bottom"/>
            <w:tcBorders>
              <w:bottom w:val="single" w:sz="8" w:color="0063A6"/>
              <w:right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7340" w:type="dxa"/>
            <w:vAlign w:val="bottom"/>
            <w:tcBorders>
              <w:bottom w:val="single" w:sz="8" w:color="0063A6"/>
            </w:tcBorders>
          </w:tcPr>
          <w:p>
            <w:pPr>
              <w:spacing w:after="0"/>
              <w:rPr>
                <w:sz w:val="5"/>
                <w:szCs w:val="5"/>
                <w:color w:val="auto"/>
              </w:rPr>
            </w:pPr>
          </w:p>
        </w:tc>
        <w:tc>
          <w:tcPr>
            <w:tcW w:w="60" w:type="dxa"/>
            <w:vAlign w:val="bottom"/>
            <w:tcBorders>
              <w:bottom w:val="single" w:sz="8" w:color="0063A6"/>
              <w:right w:val="single" w:sz="8" w:color="0063A6"/>
            </w:tcBorders>
          </w:tcPr>
          <w:p>
            <w:pPr>
              <w:spacing w:after="0"/>
              <w:rPr>
                <w:sz w:val="5"/>
                <w:szCs w:val="5"/>
                <w:color w:val="auto"/>
              </w:rPr>
            </w:pPr>
          </w:p>
        </w:tc>
      </w:tr>
      <w:tr>
        <w:trPr>
          <w:trHeight w:val="232"/>
        </w:trPr>
        <w:tc>
          <w:tcPr>
            <w:tcW w:w="60" w:type="dxa"/>
            <w:vAlign w:val="bottom"/>
            <w:tcBorders>
              <w:left w:val="single" w:sz="8" w:color="0063A6"/>
            </w:tcBorders>
          </w:tcPr>
          <w:p>
            <w:pPr>
              <w:spacing w:after="0"/>
              <w:rPr>
                <w:sz w:val="20"/>
                <w:szCs w:val="20"/>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Board Leadership</w:t>
            </w:r>
          </w:p>
        </w:tc>
        <w:tc>
          <w:tcPr>
            <w:tcW w:w="300" w:type="dxa"/>
            <w:vAlign w:val="bottom"/>
            <w:tcBorders>
              <w:right w:val="single" w:sz="8" w:color="0063A6"/>
            </w:tcBorders>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w:t>
            </w:r>
          </w:p>
        </w:tc>
        <w:tc>
          <w:tcPr>
            <w:tcW w:w="60" w:type="dxa"/>
            <w:vAlign w:val="bottom"/>
            <w:tcBorders>
              <w:right w:val="single" w:sz="8" w:color="0063A6"/>
            </w:tcBorders>
          </w:tcPr>
          <w:p>
            <w:pPr>
              <w:spacing w:after="0"/>
              <w:rPr>
                <w:sz w:val="20"/>
                <w:szCs w:val="20"/>
                <w:color w:val="auto"/>
              </w:rPr>
            </w:pPr>
          </w:p>
        </w:tc>
      </w:tr>
      <w:tr>
        <w:trPr>
          <w:trHeight w:val="209"/>
        </w:trPr>
        <w:tc>
          <w:tcPr>
            <w:tcW w:w="6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Compensation</w:t>
            </w:r>
          </w:p>
        </w:tc>
        <w:tc>
          <w:tcPr>
            <w:tcW w:w="300" w:type="dxa"/>
            <w:vAlign w:val="bottom"/>
            <w:tcBorders>
              <w:right w:val="single" w:sz="8" w:color="0063A6"/>
            </w:tcBorders>
          </w:tcPr>
          <w:p>
            <w:pPr>
              <w:ind w:left="180"/>
              <w:spacing w:after="0"/>
              <w:rPr>
                <w:sz w:val="20"/>
                <w:szCs w:val="20"/>
                <w:color w:val="auto"/>
              </w:rPr>
            </w:pPr>
            <w:r>
              <w:rPr>
                <w:rFonts w:ascii="Arial" w:cs="Arial" w:eastAsia="Arial" w:hAnsi="Arial"/>
                <w:sz w:val="4"/>
                <w:szCs w:val="4"/>
                <w:color w:val="auto"/>
              </w:rPr>
              <w:t>​</w:t>
            </w: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7340" w:type="dxa"/>
            <w:vAlign w:val="bottom"/>
          </w:tcPr>
          <w:p>
            <w:pPr>
              <w:ind w:left="60"/>
              <w:spacing w:after="0"/>
              <w:rPr>
                <w:sz w:val="20"/>
                <w:szCs w:val="20"/>
                <w:color w:val="auto"/>
              </w:rPr>
            </w:pPr>
            <w:r>
              <w:rPr>
                <w:rFonts w:ascii="Arial" w:cs="Arial" w:eastAsia="Arial" w:hAnsi="Arial"/>
                <w:sz w:val="16"/>
                <w:szCs w:val="16"/>
                <w:color w:val="auto"/>
              </w:rPr>
              <w:t>board of directors, including lead independent director and committee chair roles, to account for the</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95"/>
        </w:trPr>
        <w:tc>
          <w:tcPr>
            <w:tcW w:w="60" w:type="dxa"/>
            <w:vAlign w:val="bottom"/>
            <w:tcBorders>
              <w:left w:val="single" w:sz="8" w:color="0063A6"/>
            </w:tcBorders>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Pr>
          <w:p>
            <w:pPr>
              <w:ind w:left="60"/>
              <w:spacing w:after="0"/>
              <w:rPr>
                <w:sz w:val="20"/>
                <w:szCs w:val="20"/>
                <w:color w:val="auto"/>
              </w:rPr>
            </w:pPr>
            <w:r>
              <w:rPr>
                <w:rFonts w:ascii="Arial" w:cs="Arial" w:eastAsia="Arial" w:hAnsi="Arial"/>
                <w:sz w:val="16"/>
                <w:szCs w:val="16"/>
                <w:color w:val="auto"/>
              </w:rPr>
              <w:t>added time and effort associated with these positions.</w:t>
            </w:r>
          </w:p>
        </w:tc>
        <w:tc>
          <w:tcPr>
            <w:tcW w:w="60" w:type="dxa"/>
            <w:vAlign w:val="bottom"/>
            <w:tcBorders>
              <w:right w:val="single" w:sz="8" w:color="0063A6"/>
            </w:tcBorders>
          </w:tcPr>
          <w:p>
            <w:pPr>
              <w:spacing w:after="0"/>
              <w:rPr>
                <w:sz w:val="16"/>
                <w:szCs w:val="16"/>
                <w:color w:val="auto"/>
              </w:rPr>
            </w:pPr>
          </w:p>
        </w:tc>
      </w:tr>
      <w:tr>
        <w:trPr>
          <w:trHeight w:val="47"/>
        </w:trPr>
        <w:tc>
          <w:tcPr>
            <w:tcW w:w="60" w:type="dxa"/>
            <w:vAlign w:val="bottom"/>
            <w:tcBorders>
              <w:left w:val="single" w:sz="8" w:color="0063A6"/>
              <w:bottom w:val="single" w:sz="8" w:color="0063A6"/>
            </w:tcBorders>
          </w:tcPr>
          <w:p>
            <w:pPr>
              <w:spacing w:after="0"/>
              <w:rPr>
                <w:sz w:val="4"/>
                <w:szCs w:val="4"/>
                <w:color w:val="auto"/>
              </w:rPr>
            </w:pPr>
          </w:p>
        </w:tc>
        <w:tc>
          <w:tcPr>
            <w:tcW w:w="1760" w:type="dxa"/>
            <w:vAlign w:val="bottom"/>
            <w:tcBorders>
              <w:bottom w:val="single" w:sz="8" w:color="0063A6"/>
            </w:tcBorders>
          </w:tcPr>
          <w:p>
            <w:pPr>
              <w:spacing w:after="0"/>
              <w:rPr>
                <w:sz w:val="4"/>
                <w:szCs w:val="4"/>
                <w:color w:val="auto"/>
              </w:rPr>
            </w:pPr>
          </w:p>
        </w:tc>
        <w:tc>
          <w:tcPr>
            <w:tcW w:w="300" w:type="dxa"/>
            <w:vAlign w:val="bottom"/>
            <w:tcBorders>
              <w:bottom w:val="single" w:sz="8" w:color="0063A6"/>
              <w:right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7340" w:type="dxa"/>
            <w:vAlign w:val="bottom"/>
            <w:tcBorders>
              <w:bottom w:val="single" w:sz="8" w:color="0063A6"/>
            </w:tcBorders>
          </w:tcPr>
          <w:p>
            <w:pPr>
              <w:spacing w:after="0"/>
              <w:rPr>
                <w:sz w:val="4"/>
                <w:szCs w:val="4"/>
                <w:color w:val="auto"/>
              </w:rPr>
            </w:pPr>
          </w:p>
        </w:tc>
        <w:tc>
          <w:tcPr>
            <w:tcW w:w="60" w:type="dxa"/>
            <w:vAlign w:val="bottom"/>
            <w:tcBorders>
              <w:bottom w:val="single" w:sz="8" w:color="0063A6"/>
              <w:right w:val="single" w:sz="8" w:color="0063A6"/>
            </w:tcBorders>
          </w:tcPr>
          <w:p>
            <w:pPr>
              <w:spacing w:after="0"/>
              <w:rPr>
                <w:sz w:val="4"/>
                <w:szCs w:val="4"/>
                <w:color w:val="auto"/>
              </w:rPr>
            </w:pPr>
          </w:p>
        </w:tc>
      </w:tr>
    </w:tbl>
    <w:p>
      <w:pPr>
        <w:spacing w:after="0" w:line="20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20 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4" w:name="page25"/>
    <w:bookmarkEnd w:id="24"/>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right="134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Components of Compensation</w:t>
      </w:r>
    </w:p>
    <w:p>
      <w:pPr>
        <w:spacing w:after="0" w:line="32" w:lineRule="exact"/>
        <w:rPr>
          <w:sz w:val="20"/>
          <w:szCs w:val="20"/>
          <w:color w:val="auto"/>
        </w:rPr>
      </w:pPr>
    </w:p>
    <w:p>
      <w:pPr>
        <w:jc w:val="both"/>
        <w:ind w:left="720" w:right="760"/>
        <w:spacing w:after="0" w:line="253"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740" w:type="dxa"/>
            <w:vAlign w:val="bottom"/>
            <w:tcBorders>
              <w:right w:val="single" w:sz="8" w:color="0063A6"/>
            </w:tcBorders>
          </w:tcPr>
          <w:p>
            <w:pPr>
              <w:spacing w:after="0"/>
              <w:rPr>
                <w:sz w:val="24"/>
                <w:szCs w:val="24"/>
                <w:color w:val="auto"/>
              </w:rPr>
            </w:pPr>
          </w:p>
        </w:tc>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12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Component</w:t>
            </w:r>
          </w:p>
        </w:tc>
        <w:tc>
          <w:tcPr>
            <w:tcW w:w="180" w:type="dxa"/>
            <w:vAlign w:val="bottom"/>
            <w:tcBorders>
              <w:right w:val="single" w:sz="8" w:color="0063A6"/>
            </w:tcBorders>
            <w:shd w:val="clear" w:color="auto" w:fill="0063A6"/>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6960" w:type="dxa"/>
            <w:vAlign w:val="bottom"/>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c>
          <w:tcPr>
            <w:tcW w:w="140" w:type="dxa"/>
            <w:vAlign w:val="bottom"/>
            <w:tcBorders>
              <w:right w:val="single" w:sz="8" w:color="0063A6"/>
            </w:tcBorders>
            <w:shd w:val="clear" w:color="auto" w:fill="0063A6"/>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24"/>
                <w:szCs w:val="24"/>
                <w:color w:val="auto"/>
              </w:rPr>
            </w:pPr>
          </w:p>
        </w:tc>
      </w:tr>
      <w:tr>
        <w:trPr>
          <w:trHeight w:val="66"/>
        </w:trPr>
        <w:tc>
          <w:tcPr>
            <w:tcW w:w="740" w:type="dxa"/>
            <w:vAlign w:val="bottom"/>
            <w:tcBorders>
              <w:right w:val="single" w:sz="8" w:color="0063A6"/>
            </w:tcBorders>
          </w:tcPr>
          <w:p>
            <w:pPr>
              <w:spacing w:after="0"/>
              <w:rPr>
                <w:sz w:val="5"/>
                <w:szCs w:val="5"/>
                <w:color w:val="auto"/>
              </w:rPr>
            </w:pPr>
          </w:p>
        </w:tc>
        <w:tc>
          <w:tcPr>
            <w:tcW w:w="40" w:type="dxa"/>
            <w:vAlign w:val="bottom"/>
            <w:shd w:val="clear" w:color="auto" w:fill="0063A6"/>
          </w:tcPr>
          <w:p>
            <w:pPr>
              <w:spacing w:after="0"/>
              <w:rPr>
                <w:sz w:val="5"/>
                <w:szCs w:val="5"/>
                <w:color w:val="auto"/>
              </w:rPr>
            </w:pPr>
          </w:p>
        </w:tc>
        <w:tc>
          <w:tcPr>
            <w:tcW w:w="2120" w:type="dxa"/>
            <w:vAlign w:val="bottom"/>
            <w:shd w:val="clear" w:color="auto" w:fill="0063A6"/>
          </w:tcPr>
          <w:p>
            <w:pPr>
              <w:spacing w:after="0"/>
              <w:rPr>
                <w:sz w:val="5"/>
                <w:szCs w:val="5"/>
                <w:color w:val="auto"/>
              </w:rPr>
            </w:pPr>
          </w:p>
        </w:tc>
        <w:tc>
          <w:tcPr>
            <w:tcW w:w="180" w:type="dxa"/>
            <w:vAlign w:val="bottom"/>
            <w:tcBorders>
              <w:right w:val="single" w:sz="8" w:color="0063A6"/>
            </w:tcBorders>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20" w:type="dxa"/>
            <w:vAlign w:val="bottom"/>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5660" w:type="dxa"/>
            <w:vAlign w:val="bottom"/>
            <w:shd w:val="clear" w:color="auto" w:fill="0063A6"/>
          </w:tcPr>
          <w:p>
            <w:pPr>
              <w:spacing w:after="0"/>
              <w:rPr>
                <w:sz w:val="5"/>
                <w:szCs w:val="5"/>
                <w:color w:val="auto"/>
              </w:rPr>
            </w:pPr>
          </w:p>
        </w:tc>
        <w:tc>
          <w:tcPr>
            <w:tcW w:w="140" w:type="dxa"/>
            <w:vAlign w:val="bottom"/>
            <w:tcBorders>
              <w:right w:val="single" w:sz="8" w:color="0063A6"/>
            </w:tcBorders>
            <w:shd w:val="clear" w:color="auto" w:fill="0063A6"/>
          </w:tcPr>
          <w:p>
            <w:pPr>
              <w:spacing w:after="0"/>
              <w:rPr>
                <w:sz w:val="5"/>
                <w:szCs w:val="5"/>
                <w:color w:val="auto"/>
              </w:rPr>
            </w:pPr>
          </w:p>
        </w:tc>
        <w:tc>
          <w:tcPr>
            <w:tcW w:w="740" w:type="dxa"/>
            <w:vAlign w:val="bottom"/>
          </w:tcPr>
          <w:p>
            <w:pPr>
              <w:spacing w:after="0"/>
              <w:rPr>
                <w:sz w:val="5"/>
                <w:szCs w:val="5"/>
                <w:color w:val="auto"/>
              </w:rPr>
            </w:pPr>
          </w:p>
        </w:tc>
      </w:tr>
      <w:tr>
        <w:trPr>
          <w:trHeight w:val="329"/>
        </w:trPr>
        <w:tc>
          <w:tcPr>
            <w:tcW w:w="740" w:type="dxa"/>
            <w:vAlign w:val="bottom"/>
            <w:tcBorders>
              <w:right w:val="single" w:sz="8" w:color="0063A6"/>
            </w:tcBorders>
          </w:tcPr>
          <w:p>
            <w:pPr>
              <w:spacing w:after="0"/>
              <w:rPr>
                <w:sz w:val="24"/>
                <w:szCs w:val="24"/>
                <w:color w:val="auto"/>
              </w:rPr>
            </w:pPr>
          </w:p>
        </w:tc>
        <w:tc>
          <w:tcPr>
            <w:tcW w:w="40" w:type="dxa"/>
            <w:vAlign w:val="bottom"/>
            <w:tcBorders>
              <w:bottom w:val="single" w:sz="8" w:color="E5EFFD"/>
            </w:tcBorders>
            <w:shd w:val="clear" w:color="auto" w:fill="E5EFFD"/>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E5EFFD"/>
            </w:tcBorders>
            <w:shd w:val="clear" w:color="auto" w:fill="E5EFFD"/>
          </w:tcPr>
          <w:p>
            <w:pPr>
              <w:ind w:left="20"/>
              <w:spacing w:after="0"/>
              <w:rPr>
                <w:sz w:val="20"/>
                <w:szCs w:val="20"/>
                <w:color w:val="auto"/>
              </w:rPr>
            </w:pPr>
            <w:r>
              <w:rPr>
                <w:rFonts w:ascii="Arial" w:cs="Arial" w:eastAsia="Arial" w:hAnsi="Arial"/>
                <w:sz w:val="16"/>
                <w:szCs w:val="16"/>
                <w:b w:val="1"/>
                <w:bCs w:val="1"/>
                <w:color w:val="0063A6"/>
              </w:rPr>
              <w:t>Cash Compensation</w:t>
            </w:r>
          </w:p>
        </w:tc>
        <w:tc>
          <w:tcPr>
            <w:tcW w:w="180" w:type="dxa"/>
            <w:vAlign w:val="bottom"/>
            <w:tcBorders>
              <w:bottom w:val="single" w:sz="8" w:color="E5EFFD"/>
              <w:right w:val="single" w:sz="8" w:color="E5EFFD"/>
            </w:tcBorders>
            <w:shd w:val="clear" w:color="auto" w:fill="E5EFFD"/>
          </w:tcPr>
          <w:p>
            <w:pPr>
              <w:spacing w:after="0"/>
              <w:rPr>
                <w:sz w:val="24"/>
                <w:szCs w:val="24"/>
                <w:color w:val="auto"/>
              </w:rPr>
            </w:pP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660" w:type="dxa"/>
            <w:vAlign w:val="bottom"/>
            <w:tcBorders>
              <w:bottom w:val="single" w:sz="8" w:color="E5EFFD"/>
            </w:tcBorders>
            <w:shd w:val="clear" w:color="auto" w:fill="E5EFFD"/>
          </w:tcPr>
          <w:p>
            <w:pPr>
              <w:spacing w:after="0"/>
              <w:rPr>
                <w:sz w:val="24"/>
                <w:szCs w:val="24"/>
                <w:color w:val="auto"/>
              </w:rPr>
            </w:pPr>
          </w:p>
        </w:tc>
        <w:tc>
          <w:tcPr>
            <w:tcW w:w="140" w:type="dxa"/>
            <w:vAlign w:val="bottom"/>
            <w:tcBorders>
              <w:bottom w:val="single" w:sz="8" w:color="E5EFFD"/>
              <w:right w:val="single" w:sz="8" w:color="0063A6"/>
            </w:tcBorders>
            <w:shd w:val="clear" w:color="auto" w:fill="E5EFFD"/>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24"/>
                <w:szCs w:val="24"/>
                <w:color w:val="auto"/>
              </w:rPr>
            </w:pPr>
          </w:p>
        </w:tc>
      </w:tr>
      <w:tr>
        <w:trPr>
          <w:trHeight w:val="258"/>
        </w:trPr>
        <w:tc>
          <w:tcPr>
            <w:tcW w:w="740" w:type="dxa"/>
            <w:vAlign w:val="bottom"/>
            <w:tcBorders>
              <w:right w:val="single" w:sz="8" w:color="0063A6"/>
            </w:tcBorders>
          </w:tcPr>
          <w:p>
            <w:pPr>
              <w:spacing w:after="0"/>
              <w:rPr>
                <w:sz w:val="22"/>
                <w:szCs w:val="22"/>
                <w:color w:val="auto"/>
              </w:rPr>
            </w:pPr>
          </w:p>
        </w:tc>
        <w:tc>
          <w:tcPr>
            <w:tcW w:w="40" w:type="dxa"/>
            <w:vAlign w:val="bottom"/>
            <w:tcBorders>
              <w:top w:val="single" w:sz="8" w:color="0063A6"/>
            </w:tcBorders>
          </w:tcPr>
          <w:p>
            <w:pPr>
              <w:spacing w:after="0"/>
              <w:rPr>
                <w:sz w:val="20"/>
                <w:szCs w:val="20"/>
                <w:color w:val="auto"/>
              </w:rPr>
            </w:pPr>
            <w:r>
              <w:rPr>
                <w:rFonts w:ascii="Arial" w:cs="Arial" w:eastAsia="Arial" w:hAnsi="Arial"/>
                <w:sz w:val="4"/>
                <w:szCs w:val="4"/>
                <w:color w:val="auto"/>
              </w:rPr>
              <w:t>​</w:t>
            </w:r>
          </w:p>
        </w:tc>
        <w:tc>
          <w:tcPr>
            <w:tcW w:w="2120" w:type="dxa"/>
            <w:vAlign w:val="bottom"/>
            <w:tcBorders>
              <w:top w:val="single" w:sz="8" w:color="0063A6"/>
            </w:tcBorders>
          </w:tcPr>
          <w:p>
            <w:pPr>
              <w:ind w:left="20"/>
              <w:spacing w:after="0"/>
              <w:rPr>
                <w:sz w:val="20"/>
                <w:szCs w:val="20"/>
                <w:color w:val="auto"/>
              </w:rPr>
            </w:pPr>
            <w:r>
              <w:rPr>
                <w:rFonts w:ascii="Arial" w:cs="Arial" w:eastAsia="Arial" w:hAnsi="Arial"/>
                <w:sz w:val="16"/>
                <w:szCs w:val="16"/>
                <w:b w:val="1"/>
                <w:bCs w:val="1"/>
                <w:color w:val="auto"/>
              </w:rPr>
              <w:t>Annual Cash Retainer</w:t>
            </w:r>
          </w:p>
        </w:tc>
        <w:tc>
          <w:tcPr>
            <w:tcW w:w="180" w:type="dxa"/>
            <w:vAlign w:val="bottom"/>
            <w:tcBorders>
              <w:top w:val="single" w:sz="8" w:color="0063A6"/>
              <w:right w:val="single" w:sz="8" w:color="0063A6"/>
            </w:tcBorders>
          </w:tcPr>
          <w:p>
            <w:pPr>
              <w:ind w:left="40"/>
              <w:spacing w:after="0"/>
              <w:rPr>
                <w:sz w:val="20"/>
                <w:szCs w:val="20"/>
                <w:color w:val="auto"/>
              </w:rPr>
            </w:pPr>
            <w:r>
              <w:rPr>
                <w:rFonts w:ascii="Arial" w:cs="Arial" w:eastAsia="Arial" w:hAnsi="Arial"/>
                <w:sz w:val="4"/>
                <w:szCs w:val="4"/>
                <w:color w:val="auto"/>
              </w:rPr>
              <w:t>​</w:t>
            </w:r>
          </w:p>
        </w:tc>
        <w:tc>
          <w:tcPr>
            <w:tcW w:w="100" w:type="dxa"/>
            <w:vAlign w:val="bottom"/>
            <w:tcBorders>
              <w:top w:val="single" w:sz="8" w:color="0063A6"/>
            </w:tcBorders>
          </w:tcPr>
          <w:p>
            <w:pPr>
              <w:spacing w:after="0"/>
              <w:rPr>
                <w:sz w:val="20"/>
                <w:szCs w:val="20"/>
                <w:color w:val="auto"/>
              </w:rPr>
            </w:pPr>
            <w:r>
              <w:rPr>
                <w:rFonts w:ascii="Arial" w:cs="Arial" w:eastAsia="Arial" w:hAnsi="Arial"/>
                <w:sz w:val="4"/>
                <w:szCs w:val="4"/>
                <w:color w:val="auto"/>
              </w:rPr>
              <w:t>​</w:t>
            </w:r>
          </w:p>
        </w:tc>
        <w:tc>
          <w:tcPr>
            <w:tcW w:w="6960" w:type="dxa"/>
            <w:vAlign w:val="bottom"/>
            <w:tcBorders>
              <w:top w:val="single" w:sz="8" w:color="0063A6"/>
            </w:tcBorders>
            <w:gridSpan w:val="3"/>
          </w:tcPr>
          <w:p>
            <w:pPr>
              <w:spacing w:after="0"/>
              <w:rPr>
                <w:sz w:val="20"/>
                <w:szCs w:val="20"/>
                <w:color w:val="auto"/>
              </w:rPr>
            </w:pPr>
            <w:r>
              <w:rPr>
                <w:rFonts w:ascii="Arial" w:cs="Arial" w:eastAsia="Arial" w:hAnsi="Arial"/>
                <w:sz w:val="16"/>
                <w:szCs w:val="16"/>
                <w:color w:val="auto"/>
              </w:rPr>
              <w:t>$50,000, paid quarterly in arrears on a prorated basis.</w:t>
            </w:r>
          </w:p>
        </w:tc>
        <w:tc>
          <w:tcPr>
            <w:tcW w:w="140" w:type="dxa"/>
            <w:vAlign w:val="bottom"/>
            <w:tcBorders>
              <w:top w:val="single" w:sz="8" w:color="0063A6"/>
              <w:right w:val="single" w:sz="8" w:color="0063A6"/>
            </w:tcBorders>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22"/>
                <w:szCs w:val="22"/>
                <w:color w:val="auto"/>
              </w:rPr>
            </w:pPr>
          </w:p>
        </w:tc>
      </w:tr>
      <w:tr>
        <w:trPr>
          <w:trHeight w:val="60"/>
        </w:trPr>
        <w:tc>
          <w:tcPr>
            <w:tcW w:w="740" w:type="dxa"/>
            <w:vAlign w:val="bottom"/>
            <w:tcBorders>
              <w:right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120" w:type="dxa"/>
            <w:vAlign w:val="bottom"/>
            <w:tcBorders>
              <w:bottom w:val="single" w:sz="8" w:color="0063A6"/>
            </w:tcBorders>
          </w:tcPr>
          <w:p>
            <w:pPr>
              <w:spacing w:after="0"/>
              <w:rPr>
                <w:sz w:val="5"/>
                <w:szCs w:val="5"/>
                <w:color w:val="auto"/>
              </w:rPr>
            </w:pPr>
          </w:p>
        </w:tc>
        <w:tc>
          <w:tcPr>
            <w:tcW w:w="180" w:type="dxa"/>
            <w:vAlign w:val="bottom"/>
            <w:tcBorders>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660" w:type="dxa"/>
            <w:vAlign w:val="bottom"/>
            <w:tcBorders>
              <w:bottom w:val="single" w:sz="8" w:color="0063A6"/>
            </w:tcBorders>
          </w:tcPr>
          <w:p>
            <w:pPr>
              <w:spacing w:after="0"/>
              <w:rPr>
                <w:sz w:val="5"/>
                <w:szCs w:val="5"/>
                <w:color w:val="auto"/>
              </w:rPr>
            </w:pPr>
          </w:p>
        </w:tc>
        <w:tc>
          <w:tcPr>
            <w:tcW w:w="140" w:type="dxa"/>
            <w:vAlign w:val="bottom"/>
            <w:tcBorders>
              <w:bottom w:val="single" w:sz="8" w:color="0063A6"/>
              <w:right w:val="single" w:sz="8" w:color="0063A6"/>
            </w:tcBorders>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740" w:type="dxa"/>
            <w:vAlign w:val="bottom"/>
            <w:tcBorders>
              <w:right w:val="single" w:sz="8" w:color="0063A6"/>
            </w:tcBorders>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Committee and Board</w:t>
            </w:r>
          </w:p>
        </w:tc>
        <w:tc>
          <w:tcPr>
            <w:tcW w:w="180" w:type="dxa"/>
            <w:vAlign w:val="bottom"/>
            <w:tcBorders>
              <w:right w:val="single" w:sz="8" w:color="0063A6"/>
            </w:tcBorders>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Under the policy in fiscal 2022, each non-employee director was entitled to receive the following</w:t>
            </w:r>
          </w:p>
        </w:tc>
        <w:tc>
          <w:tcPr>
            <w:tcW w:w="140" w:type="dxa"/>
            <w:vAlign w:val="bottom"/>
            <w:tcBorders>
              <w:right w:val="single" w:sz="8" w:color="0063A6"/>
            </w:tcBorders>
          </w:tcPr>
          <w:p>
            <w:pPr>
              <w:spacing w:after="0"/>
              <w:rPr>
                <w:sz w:val="20"/>
                <w:szCs w:val="20"/>
                <w:color w:val="auto"/>
              </w:rPr>
            </w:pPr>
          </w:p>
        </w:tc>
        <w:tc>
          <w:tcPr>
            <w:tcW w:w="740" w:type="dxa"/>
            <w:vAlign w:val="bottom"/>
          </w:tcPr>
          <w:p>
            <w:pPr>
              <w:spacing w:after="0"/>
              <w:rPr>
                <w:sz w:val="20"/>
                <w:szCs w:val="20"/>
                <w:color w:val="auto"/>
              </w:rPr>
            </w:pPr>
          </w:p>
        </w:tc>
      </w:tr>
      <w:tr>
        <w:trPr>
          <w:trHeight w:val="209"/>
        </w:trPr>
        <w:tc>
          <w:tcPr>
            <w:tcW w:w="74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Leadership Compensation</w:t>
            </w:r>
          </w:p>
        </w:tc>
        <w:tc>
          <w:tcPr>
            <w:tcW w:w="180" w:type="dxa"/>
            <w:vAlign w:val="bottom"/>
            <w:tcBorders>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cash compensation for their additional services:</w:t>
            </w:r>
          </w:p>
        </w:tc>
        <w:tc>
          <w:tcPr>
            <w:tcW w:w="14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$35,000 per year for service as a lead independent director;</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$30,000 per year for service as chair of the audit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$12,500 per year for service as a member of the audit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$20,000 per year for service as chair of the talent and compensation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spacing w:after="0"/>
              <w:rPr>
                <w:sz w:val="16"/>
                <w:szCs w:val="16"/>
                <w:color w:val="auto"/>
              </w:rPr>
            </w:pPr>
          </w:p>
        </w:tc>
        <w:tc>
          <w:tcPr>
            <w:tcW w:w="180" w:type="dxa"/>
            <w:vAlign w:val="bottom"/>
            <w:tcBorders>
              <w:right w:val="single" w:sz="8" w:color="0063A6"/>
            </w:tcBorders>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$10,000 per year for service as a member of the talent and compensation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$15,000 per year for service as chair of the nominating and corporate governance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ind w:left="240"/>
              <w:spacing w:after="0"/>
              <w:rPr>
                <w:sz w:val="20"/>
                <w:szCs w:val="20"/>
                <w:color w:val="auto"/>
              </w:rPr>
            </w:pPr>
            <w:r>
              <w:rPr>
                <w:rFonts w:ascii="Arial" w:cs="Arial" w:eastAsia="Arial" w:hAnsi="Arial"/>
                <w:sz w:val="16"/>
                <w:szCs w:val="16"/>
                <w:color w:val="auto"/>
              </w:rPr>
              <w:t>and</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0063A6"/>
              </w:rPr>
              <w:t>•</w:t>
            </w:r>
            <w:r>
              <w:rPr>
                <w:rFonts w:ascii="Arial" w:cs="Arial" w:eastAsia="Arial" w:hAnsi="Arial"/>
                <w:sz w:val="16"/>
                <w:szCs w:val="16"/>
                <w:color w:val="000000"/>
              </w:rPr>
              <w:t xml:space="preserve">   $5,000 per year for service as a member of the nominating and corporate governance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ind w:left="240"/>
              <w:spacing w:after="0"/>
              <w:rPr>
                <w:sz w:val="20"/>
                <w:szCs w:val="20"/>
                <w:color w:val="auto"/>
              </w:rPr>
            </w:pPr>
            <w:r>
              <w:rPr>
                <w:rFonts w:ascii="Arial" w:cs="Arial" w:eastAsia="Arial" w:hAnsi="Arial"/>
                <w:sz w:val="16"/>
                <w:szCs w:val="16"/>
                <w:color w:val="auto"/>
              </w:rPr>
              <w:t>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4"/>
          </w:tcPr>
          <w:p>
            <w:pPr>
              <w:spacing w:after="0"/>
              <w:rPr>
                <w:sz w:val="20"/>
                <w:szCs w:val="20"/>
                <w:color w:val="auto"/>
              </w:rPr>
            </w:pPr>
            <w:r>
              <w:rPr>
                <w:rFonts w:ascii="Arial" w:cs="Arial" w:eastAsia="Arial" w:hAnsi="Arial"/>
                <w:sz w:val="16"/>
                <w:szCs w:val="16"/>
                <w:color w:val="auto"/>
              </w:rPr>
              <w:t>Directors who serve as the chair of a committee will receive only the annual fee as the chair of the</w:t>
            </w:r>
          </w:p>
        </w:tc>
        <w:tc>
          <w:tcPr>
            <w:tcW w:w="740" w:type="dxa"/>
            <w:vAlign w:val="bottom"/>
          </w:tcPr>
          <w:p>
            <w:pPr>
              <w:spacing w:after="0"/>
              <w:rPr>
                <w:sz w:val="16"/>
                <w:szCs w:val="16"/>
                <w:color w:val="auto"/>
              </w:rPr>
            </w:pPr>
          </w:p>
        </w:tc>
      </w:tr>
      <w:tr>
        <w:trPr>
          <w:trHeight w:val="195"/>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committee and not any additional fees for serving as a member of that committee.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60"/>
        </w:trPr>
        <w:tc>
          <w:tcPr>
            <w:tcW w:w="740" w:type="dxa"/>
            <w:vAlign w:val="bottom"/>
            <w:tcBorders>
              <w:right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120" w:type="dxa"/>
            <w:vAlign w:val="bottom"/>
            <w:tcBorders>
              <w:bottom w:val="single" w:sz="8" w:color="0063A6"/>
            </w:tcBorders>
          </w:tcPr>
          <w:p>
            <w:pPr>
              <w:spacing w:after="0"/>
              <w:rPr>
                <w:sz w:val="5"/>
                <w:szCs w:val="5"/>
                <w:color w:val="auto"/>
              </w:rPr>
            </w:pPr>
          </w:p>
        </w:tc>
        <w:tc>
          <w:tcPr>
            <w:tcW w:w="180" w:type="dxa"/>
            <w:vAlign w:val="bottom"/>
            <w:tcBorders>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660" w:type="dxa"/>
            <w:vAlign w:val="bottom"/>
            <w:tcBorders>
              <w:bottom w:val="single" w:sz="8" w:color="0063A6"/>
            </w:tcBorders>
          </w:tcPr>
          <w:p>
            <w:pPr>
              <w:spacing w:after="0"/>
              <w:rPr>
                <w:sz w:val="5"/>
                <w:szCs w:val="5"/>
                <w:color w:val="auto"/>
              </w:rPr>
            </w:pPr>
          </w:p>
        </w:tc>
        <w:tc>
          <w:tcPr>
            <w:tcW w:w="140" w:type="dxa"/>
            <w:vAlign w:val="bottom"/>
            <w:tcBorders>
              <w:bottom w:val="single" w:sz="8" w:color="0063A6"/>
              <w:right w:val="single" w:sz="8" w:color="0063A6"/>
            </w:tcBorders>
          </w:tcPr>
          <w:p>
            <w:pPr>
              <w:spacing w:after="0"/>
              <w:rPr>
                <w:sz w:val="5"/>
                <w:szCs w:val="5"/>
                <w:color w:val="auto"/>
              </w:rPr>
            </w:pPr>
          </w:p>
        </w:tc>
        <w:tc>
          <w:tcPr>
            <w:tcW w:w="740" w:type="dxa"/>
            <w:vAlign w:val="bottom"/>
          </w:tcPr>
          <w:p>
            <w:pPr>
              <w:spacing w:after="0"/>
              <w:rPr>
                <w:sz w:val="5"/>
                <w:szCs w:val="5"/>
                <w:color w:val="auto"/>
              </w:rPr>
            </w:pPr>
          </w:p>
        </w:tc>
      </w:tr>
      <w:tr>
        <w:trPr>
          <w:trHeight w:val="323"/>
        </w:trPr>
        <w:tc>
          <w:tcPr>
            <w:tcW w:w="740" w:type="dxa"/>
            <w:vAlign w:val="bottom"/>
            <w:tcBorders>
              <w:right w:val="single" w:sz="8" w:color="0063A6"/>
            </w:tcBorders>
          </w:tcPr>
          <w:p>
            <w:pPr>
              <w:spacing w:after="0"/>
              <w:rPr>
                <w:sz w:val="24"/>
                <w:szCs w:val="24"/>
                <w:color w:val="auto"/>
              </w:rPr>
            </w:pPr>
          </w:p>
        </w:tc>
        <w:tc>
          <w:tcPr>
            <w:tcW w:w="40" w:type="dxa"/>
            <w:vAlign w:val="bottom"/>
            <w:tcBorders>
              <w:bottom w:val="single" w:sz="8" w:color="E5EFFD"/>
            </w:tcBorders>
            <w:shd w:val="clear" w:color="auto" w:fill="E5EFFD"/>
          </w:tcPr>
          <w:p>
            <w:pPr>
              <w:spacing w:after="0"/>
              <w:rPr>
                <w:sz w:val="20"/>
                <w:szCs w:val="20"/>
                <w:color w:val="auto"/>
              </w:rPr>
            </w:pPr>
            <w:r>
              <w:rPr>
                <w:rFonts w:ascii="Arial" w:cs="Arial" w:eastAsia="Arial" w:hAnsi="Arial"/>
                <w:sz w:val="4"/>
                <w:szCs w:val="4"/>
                <w:color w:val="auto"/>
              </w:rPr>
              <w:t>​</w:t>
            </w:r>
          </w:p>
        </w:tc>
        <w:tc>
          <w:tcPr>
            <w:tcW w:w="2120" w:type="dxa"/>
            <w:vAlign w:val="bottom"/>
            <w:tcBorders>
              <w:bottom w:val="single" w:sz="8" w:color="E5EFFD"/>
            </w:tcBorders>
            <w:shd w:val="clear" w:color="auto" w:fill="E5EFFD"/>
          </w:tcPr>
          <w:p>
            <w:pPr>
              <w:ind w:left="20"/>
              <w:spacing w:after="0"/>
              <w:rPr>
                <w:sz w:val="20"/>
                <w:szCs w:val="20"/>
                <w:color w:val="auto"/>
              </w:rPr>
            </w:pPr>
            <w:r>
              <w:rPr>
                <w:rFonts w:ascii="Arial" w:cs="Arial" w:eastAsia="Arial" w:hAnsi="Arial"/>
                <w:sz w:val="16"/>
                <w:szCs w:val="16"/>
                <w:b w:val="1"/>
                <w:bCs w:val="1"/>
                <w:color w:val="0063A6"/>
              </w:rPr>
              <w:t>Equity Compensation</w:t>
            </w:r>
          </w:p>
        </w:tc>
        <w:tc>
          <w:tcPr>
            <w:tcW w:w="180" w:type="dxa"/>
            <w:vAlign w:val="bottom"/>
            <w:tcBorders>
              <w:bottom w:val="single" w:sz="8" w:color="E5EFFD"/>
              <w:right w:val="single" w:sz="8" w:color="E5EFFD"/>
            </w:tcBorders>
            <w:shd w:val="clear" w:color="auto" w:fill="E5EFFD"/>
          </w:tcPr>
          <w:p>
            <w:pPr>
              <w:spacing w:after="0"/>
              <w:rPr>
                <w:sz w:val="24"/>
                <w:szCs w:val="24"/>
                <w:color w:val="auto"/>
              </w:rPr>
            </w:pPr>
          </w:p>
        </w:tc>
        <w:tc>
          <w:tcPr>
            <w:tcW w:w="100" w:type="dxa"/>
            <w:vAlign w:val="bottom"/>
            <w:tcBorders>
              <w:bottom w:val="single" w:sz="8" w:color="E5EFFD"/>
            </w:tcBorders>
            <w:shd w:val="clear" w:color="auto" w:fill="E5EFFD"/>
          </w:tcPr>
          <w:p>
            <w:pPr>
              <w:spacing w:after="0"/>
              <w:rPr>
                <w:sz w:val="24"/>
                <w:szCs w:val="24"/>
                <w:color w:val="auto"/>
              </w:rPr>
            </w:pPr>
          </w:p>
        </w:tc>
        <w:tc>
          <w:tcPr>
            <w:tcW w:w="1220" w:type="dxa"/>
            <w:vAlign w:val="bottom"/>
            <w:tcBorders>
              <w:bottom w:val="single" w:sz="8" w:color="E5EFFD"/>
            </w:tcBorders>
            <w:shd w:val="clear" w:color="auto" w:fill="E5EFFD"/>
          </w:tcPr>
          <w:p>
            <w:pPr>
              <w:spacing w:after="0"/>
              <w:rPr>
                <w:sz w:val="24"/>
                <w:szCs w:val="24"/>
                <w:color w:val="auto"/>
              </w:rPr>
            </w:pPr>
          </w:p>
        </w:tc>
        <w:tc>
          <w:tcPr>
            <w:tcW w:w="80" w:type="dxa"/>
            <w:vAlign w:val="bottom"/>
            <w:tcBorders>
              <w:bottom w:val="single" w:sz="8" w:color="E5EFFD"/>
            </w:tcBorders>
            <w:shd w:val="clear" w:color="auto" w:fill="E5EFFD"/>
          </w:tcPr>
          <w:p>
            <w:pPr>
              <w:spacing w:after="0"/>
              <w:rPr>
                <w:sz w:val="24"/>
                <w:szCs w:val="24"/>
                <w:color w:val="auto"/>
              </w:rPr>
            </w:pPr>
          </w:p>
        </w:tc>
        <w:tc>
          <w:tcPr>
            <w:tcW w:w="5660" w:type="dxa"/>
            <w:vAlign w:val="bottom"/>
            <w:tcBorders>
              <w:bottom w:val="single" w:sz="8" w:color="E5EFFD"/>
            </w:tcBorders>
            <w:shd w:val="clear" w:color="auto" w:fill="E5EFFD"/>
          </w:tcPr>
          <w:p>
            <w:pPr>
              <w:spacing w:after="0"/>
              <w:rPr>
                <w:sz w:val="24"/>
                <w:szCs w:val="24"/>
                <w:color w:val="auto"/>
              </w:rPr>
            </w:pPr>
          </w:p>
        </w:tc>
        <w:tc>
          <w:tcPr>
            <w:tcW w:w="140" w:type="dxa"/>
            <w:vAlign w:val="bottom"/>
            <w:tcBorders>
              <w:bottom w:val="single" w:sz="8" w:color="E5EFFD"/>
              <w:right w:val="single" w:sz="8" w:color="0063A6"/>
            </w:tcBorders>
            <w:shd w:val="clear" w:color="auto" w:fill="E5EFFD"/>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24"/>
                <w:szCs w:val="24"/>
                <w:color w:val="auto"/>
              </w:rPr>
            </w:pPr>
          </w:p>
        </w:tc>
      </w:tr>
      <w:tr>
        <w:trPr>
          <w:trHeight w:val="252"/>
        </w:trPr>
        <w:tc>
          <w:tcPr>
            <w:tcW w:w="740" w:type="dxa"/>
            <w:vAlign w:val="bottom"/>
            <w:tcBorders>
              <w:right w:val="single" w:sz="8" w:color="0063A6"/>
            </w:tcBorders>
          </w:tcPr>
          <w:p>
            <w:pPr>
              <w:spacing w:after="0"/>
              <w:rPr>
                <w:sz w:val="21"/>
                <w:szCs w:val="21"/>
                <w:color w:val="auto"/>
              </w:rPr>
            </w:pPr>
          </w:p>
        </w:tc>
        <w:tc>
          <w:tcPr>
            <w:tcW w:w="40" w:type="dxa"/>
            <w:vAlign w:val="bottom"/>
            <w:tcBorders>
              <w:top w:val="single" w:sz="8" w:color="0063A6"/>
            </w:tcBorders>
          </w:tcPr>
          <w:p>
            <w:pPr>
              <w:spacing w:after="0"/>
              <w:rPr>
                <w:sz w:val="21"/>
                <w:szCs w:val="21"/>
                <w:color w:val="auto"/>
              </w:rPr>
            </w:pPr>
          </w:p>
        </w:tc>
        <w:tc>
          <w:tcPr>
            <w:tcW w:w="2120" w:type="dxa"/>
            <w:vAlign w:val="bottom"/>
            <w:tcBorders>
              <w:top w:val="single" w:sz="8" w:color="0063A6"/>
            </w:tcBorders>
          </w:tcPr>
          <w:p>
            <w:pPr>
              <w:ind w:left="20"/>
              <w:spacing w:after="0"/>
              <w:rPr>
                <w:sz w:val="20"/>
                <w:szCs w:val="20"/>
                <w:color w:val="auto"/>
              </w:rPr>
            </w:pPr>
            <w:r>
              <w:rPr>
                <w:rFonts w:ascii="Arial" w:cs="Arial" w:eastAsia="Arial" w:hAnsi="Arial"/>
                <w:sz w:val="16"/>
                <w:szCs w:val="16"/>
                <w:b w:val="1"/>
                <w:bCs w:val="1"/>
                <w:color w:val="auto"/>
              </w:rPr>
              <w:t>Initial Award</w:t>
            </w:r>
          </w:p>
        </w:tc>
        <w:tc>
          <w:tcPr>
            <w:tcW w:w="180" w:type="dxa"/>
            <w:vAlign w:val="bottom"/>
            <w:tcBorders>
              <w:top w:val="single" w:sz="8" w:color="0063A6"/>
              <w:right w:val="single" w:sz="8" w:color="0063A6"/>
            </w:tcBorders>
          </w:tcPr>
          <w:p>
            <w:pPr>
              <w:spacing w:after="0"/>
              <w:rPr>
                <w:sz w:val="21"/>
                <w:szCs w:val="21"/>
                <w:color w:val="auto"/>
              </w:rPr>
            </w:pPr>
          </w:p>
        </w:tc>
        <w:tc>
          <w:tcPr>
            <w:tcW w:w="100" w:type="dxa"/>
            <w:vAlign w:val="bottom"/>
            <w:tcBorders>
              <w:top w:val="single" w:sz="8" w:color="0063A6"/>
            </w:tcBorders>
          </w:tcPr>
          <w:p>
            <w:pPr>
              <w:spacing w:after="0"/>
              <w:rPr>
                <w:sz w:val="21"/>
                <w:szCs w:val="21"/>
                <w:color w:val="auto"/>
              </w:rPr>
            </w:pPr>
          </w:p>
        </w:tc>
        <w:tc>
          <w:tcPr>
            <w:tcW w:w="6960" w:type="dxa"/>
            <w:vAlign w:val="bottom"/>
            <w:tcBorders>
              <w:top w:val="single" w:sz="8" w:color="0063A6"/>
            </w:tcBorders>
            <w:gridSpan w:val="3"/>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on or</w:t>
            </w:r>
          </w:p>
        </w:tc>
        <w:tc>
          <w:tcPr>
            <w:tcW w:w="140" w:type="dxa"/>
            <w:vAlign w:val="bottom"/>
            <w:tcBorders>
              <w:top w:val="single" w:sz="8" w:color="0063A6"/>
              <w:right w:val="single" w:sz="8" w:color="0063A6"/>
            </w:tcBorders>
          </w:tcPr>
          <w:p>
            <w:pPr>
              <w:spacing w:after="0"/>
              <w:rPr>
                <w:sz w:val="21"/>
                <w:szCs w:val="21"/>
                <w:color w:val="auto"/>
              </w:rPr>
            </w:pPr>
          </w:p>
        </w:tc>
        <w:tc>
          <w:tcPr>
            <w:tcW w:w="740" w:type="dxa"/>
            <w:vAlign w:val="bottom"/>
          </w:tcPr>
          <w:p>
            <w:pPr>
              <w:spacing w:after="0"/>
              <w:rPr>
                <w:sz w:val="21"/>
                <w:szCs w:val="21"/>
                <w:color w:val="auto"/>
              </w:rPr>
            </w:pPr>
          </w:p>
        </w:tc>
      </w:tr>
      <w:tr>
        <w:trPr>
          <w:trHeight w:val="169"/>
        </w:trPr>
        <w:tc>
          <w:tcPr>
            <w:tcW w:w="740" w:type="dxa"/>
            <w:vAlign w:val="bottom"/>
            <w:tcBorders>
              <w:right w:val="single" w:sz="8" w:color="0063A6"/>
            </w:tcBorders>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Borders>
              <w:right w:val="single" w:sz="8" w:color="0063A6"/>
            </w:tcBorders>
          </w:tcPr>
          <w:p>
            <w:pPr>
              <w:spacing w:after="0"/>
              <w:rPr>
                <w:sz w:val="14"/>
                <w:szCs w:val="14"/>
                <w:color w:val="auto"/>
              </w:rPr>
            </w:pPr>
          </w:p>
        </w:tc>
        <w:tc>
          <w:tcPr>
            <w:tcW w:w="100" w:type="dxa"/>
            <w:vAlign w:val="bottom"/>
          </w:tcPr>
          <w:p>
            <w:pPr>
              <w:spacing w:after="0"/>
              <w:rPr>
                <w:sz w:val="14"/>
                <w:szCs w:val="14"/>
                <w:color w:val="auto"/>
              </w:rPr>
            </w:pPr>
          </w:p>
        </w:tc>
        <w:tc>
          <w:tcPr>
            <w:tcW w:w="6960" w:type="dxa"/>
            <w:vAlign w:val="bottom"/>
            <w:gridSpan w:val="3"/>
          </w:tcPr>
          <w:p>
            <w:pPr>
              <w:spacing w:after="0" w:line="169" w:lineRule="exact"/>
              <w:rPr>
                <w:sz w:val="20"/>
                <w:szCs w:val="20"/>
                <w:color w:val="auto"/>
              </w:rPr>
            </w:pPr>
            <w:r>
              <w:rPr>
                <w:rFonts w:ascii="Arial" w:cs="Arial" w:eastAsia="Arial" w:hAnsi="Arial"/>
                <w:sz w:val="16"/>
                <w:szCs w:val="16"/>
                <w:color w:val="auto"/>
              </w:rPr>
              <w:t>after the date on which the person first becomes a non-employee director, an initial award of</w:t>
            </w:r>
          </w:p>
        </w:tc>
        <w:tc>
          <w:tcPr>
            <w:tcW w:w="140" w:type="dxa"/>
            <w:vAlign w:val="bottom"/>
            <w:tcBorders>
              <w:right w:val="single" w:sz="8" w:color="0063A6"/>
            </w:tcBorders>
          </w:tcPr>
          <w:p>
            <w:pPr>
              <w:spacing w:after="0"/>
              <w:rPr>
                <w:sz w:val="14"/>
                <w:szCs w:val="14"/>
                <w:color w:val="auto"/>
              </w:rPr>
            </w:pPr>
          </w:p>
        </w:tc>
        <w:tc>
          <w:tcPr>
            <w:tcW w:w="740" w:type="dxa"/>
            <w:vAlign w:val="bottom"/>
          </w:tcPr>
          <w:p>
            <w:pPr>
              <w:spacing w:after="0"/>
              <w:rPr>
                <w:sz w:val="14"/>
                <w:szCs w:val="14"/>
                <w:color w:val="auto"/>
              </w:rPr>
            </w:pPr>
          </w:p>
        </w:tc>
      </w:tr>
      <w:tr>
        <w:trPr>
          <w:trHeight w:val="209"/>
        </w:trPr>
        <w:tc>
          <w:tcPr>
            <w:tcW w:w="74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right w:val="single" w:sz="8" w:color="0063A6"/>
            </w:tcBorders>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or the Initial Award. An employee director who becomes a non-</w:t>
            </w:r>
          </w:p>
        </w:tc>
        <w:tc>
          <w:tcPr>
            <w:tcW w:w="140" w:type="dxa"/>
            <w:vAlign w:val="bottom"/>
            <w:tcBorders>
              <w:right w:val="single" w:sz="8" w:color="0063A6"/>
            </w:tcBorders>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employee director due to termination of employment will not be entitled to an Initial Award.</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73"/>
        </w:trPr>
        <w:tc>
          <w:tcPr>
            <w:tcW w:w="74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gridSpan w:val="3"/>
          </w:tcPr>
          <w:p>
            <w:pPr>
              <w:spacing w:after="0" w:line="173" w:lineRule="exact"/>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gridSpan w:val="3"/>
          </w:tcPr>
          <w:p>
            <w:pPr>
              <w:spacing w:after="0" w:line="176" w:lineRule="exact"/>
              <w:rPr>
                <w:sz w:val="20"/>
                <w:szCs w:val="20"/>
                <w:color w:val="auto"/>
              </w:rPr>
            </w:pPr>
            <w:r>
              <w:rPr>
                <w:rFonts w:ascii="Arial" w:cs="Arial" w:eastAsia="Arial" w:hAnsi="Arial"/>
                <w:sz w:val="16"/>
                <w:szCs w:val="16"/>
                <w:i w:val="1"/>
                <w:iCs w:val="1"/>
                <w:color w:val="auto"/>
              </w:rPr>
              <w:t>Number of Shares</w:t>
            </w:r>
          </w:p>
        </w:tc>
        <w:tc>
          <w:tcPr>
            <w:tcW w:w="140" w:type="dxa"/>
            <w:vAlign w:val="bottom"/>
            <w:tcBorders>
              <w:right w:val="single" w:sz="8" w:color="0063A6"/>
            </w:tcBorders>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740" w:type="dxa"/>
            <w:vAlign w:val="bottom"/>
            <w:tcBorders>
              <w:right w:val="single" w:sz="8" w:color="0063A6"/>
            </w:tcBorders>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Borders>
              <w:right w:val="single" w:sz="8" w:color="0063A6"/>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w:t>
            </w:r>
          </w:p>
        </w:tc>
        <w:tc>
          <w:tcPr>
            <w:tcW w:w="5660" w:type="dxa"/>
            <w:vAlign w:val="bottom"/>
          </w:tcPr>
          <w:p>
            <w:pPr>
              <w:spacing w:after="0"/>
              <w:rPr>
                <w:sz w:val="17"/>
                <w:szCs w:val="17"/>
                <w:color w:val="auto"/>
              </w:rPr>
            </w:pPr>
          </w:p>
        </w:tc>
        <w:tc>
          <w:tcPr>
            <w:tcW w:w="140" w:type="dxa"/>
            <w:vAlign w:val="bottom"/>
            <w:tcBorders>
              <w:right w:val="single" w:sz="8" w:color="0063A6"/>
            </w:tcBorders>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4"/>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4"/>
          </w:tcPr>
          <w:p>
            <w:pPr>
              <w:spacing w:after="0"/>
              <w:rPr>
                <w:sz w:val="20"/>
                <w:szCs w:val="20"/>
                <w:color w:val="auto"/>
              </w:rPr>
            </w:pPr>
            <w:r>
              <w:rPr>
                <w:rFonts w:ascii="Arial" w:cs="Arial" w:eastAsia="Arial" w:hAnsi="Arial"/>
                <w:sz w:val="16"/>
                <w:szCs w:val="16"/>
                <w:color w:val="auto"/>
              </w:rPr>
              <w:t>value (determined in accordance with GAAP) equal to $250,000 multiplied by the fraction obtained</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2120" w:type="dxa"/>
            <w:vAlign w:val="bottom"/>
          </w:tcPr>
          <w:p>
            <w:pPr>
              <w:spacing w:after="0"/>
              <w:rPr>
                <w:sz w:val="16"/>
                <w:szCs w:val="16"/>
                <w:color w:val="auto"/>
              </w:rPr>
            </w:pPr>
          </w:p>
        </w:tc>
        <w:tc>
          <w:tcPr>
            <w:tcW w:w="180" w:type="dxa"/>
            <w:vAlign w:val="bottom"/>
            <w:tcBorders>
              <w:right w:val="single" w:sz="8" w:color="0063A6"/>
            </w:tcBorders>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6960" w:type="dxa"/>
            <w:vAlign w:val="bottom"/>
            <w:gridSpan w:val="3"/>
          </w:tcPr>
          <w:p>
            <w:pPr>
              <w:spacing w:after="0"/>
              <w:rPr>
                <w:sz w:val="20"/>
                <w:szCs w:val="20"/>
                <w:color w:val="auto"/>
              </w:rPr>
            </w:pPr>
            <w:r>
              <w:rPr>
                <w:rFonts w:ascii="Arial" w:cs="Arial" w:eastAsia="Arial" w:hAnsi="Arial"/>
                <w:sz w:val="16"/>
                <w:szCs w:val="16"/>
                <w:color w:val="auto"/>
              </w:rPr>
              <w:t>by dividing (a) the number of full months during the period beginning on the date the person first</w:t>
            </w:r>
          </w:p>
        </w:tc>
        <w:tc>
          <w:tcPr>
            <w:tcW w:w="140" w:type="dxa"/>
            <w:vAlign w:val="bottom"/>
            <w:tcBorders>
              <w:right w:val="single" w:sz="8" w:color="0063A6"/>
            </w:tcBorders>
          </w:tcPr>
          <w:p>
            <w:pPr>
              <w:ind w:left="100"/>
              <w:spacing w:after="0"/>
              <w:rPr>
                <w:sz w:val="20"/>
                <w:szCs w:val="20"/>
                <w:color w:val="auto"/>
              </w:rPr>
            </w:pPr>
            <w:r>
              <w:rPr>
                <w:rFonts w:ascii="Arial" w:cs="Arial" w:eastAsia="Arial" w:hAnsi="Arial"/>
                <w:sz w:val="2"/>
                <w:szCs w:val="2"/>
                <w:color w:val="auto"/>
                <w:w w:val="4294942296"/>
              </w:rPr>
              <w:t>​</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100" w:type="dxa"/>
            <w:vAlign w:val="bottom"/>
            <w:tcBorders>
              <w:right w:val="single" w:sz="8" w:color="0063A6"/>
            </w:tcBorders>
            <w:gridSpan w:val="4"/>
          </w:tcPr>
          <w:p>
            <w:pPr>
              <w:spacing w:after="0"/>
              <w:rPr>
                <w:sz w:val="20"/>
                <w:szCs w:val="20"/>
                <w:color w:val="auto"/>
              </w:rPr>
            </w:pPr>
            <w:r>
              <w:rPr>
                <w:rFonts w:ascii="Arial" w:cs="Arial" w:eastAsia="Arial" w:hAnsi="Arial"/>
                <w:sz w:val="16"/>
                <w:szCs w:val="16"/>
                <w:color w:val="auto"/>
              </w:rPr>
              <w:t>becomes a non-employee director and ending on the one-year anniversary of the date of the then-</w:t>
            </w: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most recent annual meeting of the company’s stockholders, or the Initial Award Vesting Period by</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(b) 12, rounded to the nearest whole share.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73"/>
        </w:trPr>
        <w:tc>
          <w:tcPr>
            <w:tcW w:w="74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gridSpan w:val="3"/>
          </w:tcPr>
          <w:p>
            <w:pPr>
              <w:spacing w:after="0" w:line="173" w:lineRule="exact"/>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i w:val="1"/>
                <w:iCs w:val="1"/>
                <w:color w:val="auto"/>
                <w:w w:val="99"/>
              </w:rPr>
              <w:t>Vesting of Award</w:t>
            </w:r>
          </w:p>
        </w:tc>
        <w:tc>
          <w:tcPr>
            <w:tcW w:w="5740" w:type="dxa"/>
            <w:vAlign w:val="bottom"/>
            <w:gridSpan w:val="2"/>
          </w:tcPr>
          <w:p>
            <w:pPr>
              <w:spacing w:after="0"/>
              <w:rPr>
                <w:sz w:val="15"/>
                <w:szCs w:val="15"/>
                <w:color w:val="auto"/>
              </w:rPr>
            </w:pPr>
          </w:p>
        </w:tc>
        <w:tc>
          <w:tcPr>
            <w:tcW w:w="140" w:type="dxa"/>
            <w:vAlign w:val="bottom"/>
            <w:tcBorders>
              <w:right w:val="single" w:sz="8" w:color="0063A6"/>
            </w:tcBorders>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740" w:type="dxa"/>
            <w:vAlign w:val="bottom"/>
            <w:tcBorders>
              <w:right w:val="single" w:sz="8" w:color="0063A6"/>
            </w:tcBorders>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Borders>
              <w:right w:val="single" w:sz="8" w:color="0063A6"/>
            </w:tcBorders>
          </w:tcPr>
          <w:p>
            <w:pPr>
              <w:spacing w:after="0"/>
              <w:rPr>
                <w:sz w:val="17"/>
                <w:szCs w:val="17"/>
                <w:color w:val="auto"/>
              </w:rPr>
            </w:pPr>
          </w:p>
        </w:tc>
        <w:tc>
          <w:tcPr>
            <w:tcW w:w="10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0063A6"/>
            </w:tcBorders>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before the annual meeting of our stockholders that follows the grant date of the Initial Award,</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subject to the non-employee director continuing to provide services to us through the applicable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Arial" w:cs="Arial" w:eastAsia="Arial" w:hAnsi="Arial"/>
                <w:sz w:val="16"/>
                <w:szCs w:val="16"/>
                <w:color w:val="auto"/>
              </w:rPr>
              <w:t>vesting date.</w:t>
            </w:r>
          </w:p>
        </w:tc>
        <w:tc>
          <w:tcPr>
            <w:tcW w:w="140" w:type="dxa"/>
            <w:vAlign w:val="bottom"/>
            <w:tcBorders>
              <w:right w:val="single" w:sz="8" w:color="0063A6"/>
            </w:tcBorders>
          </w:tcPr>
          <w:p>
            <w:pPr>
              <w:spacing w:after="0"/>
              <w:rPr>
                <w:sz w:val="16"/>
                <w:szCs w:val="16"/>
                <w:color w:val="auto"/>
              </w:rPr>
            </w:pPr>
          </w:p>
        </w:tc>
        <w:tc>
          <w:tcPr>
            <w:tcW w:w="740" w:type="dxa"/>
            <w:vAlign w:val="bottom"/>
          </w:tcPr>
          <w:p>
            <w:pPr>
              <w:spacing w:after="0"/>
              <w:rPr>
                <w:sz w:val="16"/>
                <w:szCs w:val="16"/>
                <w:color w:val="auto"/>
              </w:rPr>
            </w:pPr>
          </w:p>
        </w:tc>
      </w:tr>
      <w:tr>
        <w:trPr>
          <w:trHeight w:val="47"/>
        </w:trPr>
        <w:tc>
          <w:tcPr>
            <w:tcW w:w="740" w:type="dxa"/>
            <w:vAlign w:val="bottom"/>
            <w:tcBorders>
              <w:right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2120" w:type="dxa"/>
            <w:vAlign w:val="bottom"/>
            <w:tcBorders>
              <w:bottom w:val="single" w:sz="8" w:color="0063A6"/>
            </w:tcBorders>
          </w:tcPr>
          <w:p>
            <w:pPr>
              <w:spacing w:after="0"/>
              <w:rPr>
                <w:sz w:val="4"/>
                <w:szCs w:val="4"/>
                <w:color w:val="auto"/>
              </w:rPr>
            </w:pPr>
          </w:p>
        </w:tc>
        <w:tc>
          <w:tcPr>
            <w:tcW w:w="180" w:type="dxa"/>
            <w:vAlign w:val="bottom"/>
            <w:tcBorders>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660" w:type="dxa"/>
            <w:vAlign w:val="bottom"/>
            <w:tcBorders>
              <w:bottom w:val="single" w:sz="8" w:color="0063A6"/>
            </w:tcBorders>
          </w:tcPr>
          <w:p>
            <w:pPr>
              <w:spacing w:after="0"/>
              <w:rPr>
                <w:sz w:val="4"/>
                <w:szCs w:val="4"/>
                <w:color w:val="auto"/>
              </w:rPr>
            </w:pPr>
          </w:p>
        </w:tc>
        <w:tc>
          <w:tcPr>
            <w:tcW w:w="140" w:type="dxa"/>
            <w:vAlign w:val="bottom"/>
            <w:tcBorders>
              <w:bottom w:val="single" w:sz="8" w:color="0063A6"/>
              <w:right w:val="single" w:sz="8" w:color="0063A6"/>
            </w:tcBorders>
          </w:tcPr>
          <w:p>
            <w:pPr>
              <w:spacing w:after="0"/>
              <w:rPr>
                <w:sz w:val="4"/>
                <w:szCs w:val="4"/>
                <w:color w:val="auto"/>
              </w:rPr>
            </w:pPr>
          </w:p>
        </w:tc>
        <w:tc>
          <w:tcPr>
            <w:tcW w:w="740" w:type="dxa"/>
            <w:vAlign w:val="bottom"/>
          </w:tcPr>
          <w:p>
            <w:pPr>
              <w:spacing w:after="0"/>
              <w:rPr>
                <w:sz w:val="4"/>
                <w:szCs w:val="4"/>
                <w:color w:val="auto"/>
              </w:rPr>
            </w:pPr>
          </w:p>
        </w:tc>
      </w:tr>
      <w:tr>
        <w:trPr>
          <w:trHeight w:val="38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gridSpan w:val="3"/>
          </w:tcPr>
          <w:p>
            <w:pPr>
              <w:ind w:left="12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21</w:t>
            </w:r>
          </w:p>
        </w:tc>
      </w:tr>
      <w:tr>
        <w:trPr>
          <w:trHeight w:val="168"/>
        </w:trPr>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0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114" w:lineRule="exact"/>
        <w:rPr>
          <w:sz w:val="20"/>
          <w:szCs w:val="20"/>
          <w:color w:val="auto"/>
        </w:rPr>
      </w:pPr>
    </w:p>
    <w:tbl>
      <w:tblPr>
        <w:tblLayout w:type="fixed"/>
        <w:tblInd w:w="14" w:type="dxa"/>
        <w:tblCellMar>
          <w:top w:w="0" w:type="dxa"/>
          <w:left w:w="0" w:type="dxa"/>
          <w:bottom w:w="0" w:type="dxa"/>
          <w:right w:w="0" w:type="dxa"/>
        </w:tblCellMar>
      </w:tblPr>
      <w:tr>
        <w:trPr>
          <w:trHeight w:val="298"/>
        </w:trPr>
        <w:tc>
          <w:tcPr>
            <w:tcW w:w="1880" w:type="dxa"/>
            <w:vAlign w:val="bottom"/>
            <w:tcBorders>
              <w:left w:val="single" w:sz="8" w:color="0063A6"/>
            </w:tcBorders>
            <w:shd w:val="clear" w:color="auto" w:fill="0063A6"/>
          </w:tcPr>
          <w:p>
            <w:pPr>
              <w:ind w:left="20"/>
              <w:spacing w:after="0"/>
              <w:rPr>
                <w:sz w:val="20"/>
                <w:szCs w:val="20"/>
                <w:color w:val="auto"/>
              </w:rPr>
            </w:pPr>
            <w:r>
              <w:rPr>
                <w:rFonts w:ascii="Arial" w:cs="Arial" w:eastAsia="Arial" w:hAnsi="Arial"/>
                <w:sz w:val="4"/>
                <w:szCs w:val="4"/>
                <w:color w:val="auto"/>
              </w:rPr>
              <w:t>​</w:t>
            </w:r>
            <w:r>
              <w:rPr>
                <w:rFonts w:ascii="Arial" w:cs="Arial" w:eastAsia="Arial" w:hAnsi="Arial"/>
                <w:sz w:val="14"/>
                <w:szCs w:val="14"/>
                <w:b w:val="1"/>
                <w:bCs w:val="1"/>
                <w:color w:val="FFFFFF"/>
              </w:rPr>
              <w:t>Component</w:t>
            </w:r>
          </w:p>
        </w:tc>
        <w:tc>
          <w:tcPr>
            <w:tcW w:w="480" w:type="dxa"/>
            <w:vAlign w:val="bottom"/>
            <w:tcBorders>
              <w:right w:val="single" w:sz="8" w:color="0063A6"/>
            </w:tcBorders>
            <w:shd w:val="clear" w:color="auto" w:fill="0063A6"/>
          </w:tcPr>
          <w:p>
            <w:pPr>
              <w:ind w:left="3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7040" w:type="dxa"/>
            <w:vAlign w:val="bottom"/>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c>
          <w:tcPr>
            <w:tcW w:w="60" w:type="dxa"/>
            <w:vAlign w:val="bottom"/>
            <w:tcBorders>
              <w:right w:val="single" w:sz="8" w:color="0063A6"/>
            </w:tcBorders>
            <w:shd w:val="clear" w:color="auto" w:fill="0063A6"/>
          </w:tcPr>
          <w:p>
            <w:pPr>
              <w:ind w:left="20"/>
              <w:spacing w:after="0"/>
              <w:rPr>
                <w:sz w:val="20"/>
                <w:szCs w:val="20"/>
                <w:color w:val="auto"/>
              </w:rPr>
            </w:pPr>
            <w:r>
              <w:rPr>
                <w:rFonts w:ascii="Arial" w:cs="Arial" w:eastAsia="Arial" w:hAnsi="Arial"/>
                <w:sz w:val="2"/>
                <w:szCs w:val="2"/>
                <w:color w:val="auto"/>
                <w:w w:val="4294942296"/>
              </w:rPr>
              <w:t>​</w:t>
            </w:r>
          </w:p>
        </w:tc>
      </w:tr>
      <w:tr>
        <w:trPr>
          <w:trHeight w:val="66"/>
        </w:trPr>
        <w:tc>
          <w:tcPr>
            <w:tcW w:w="1880" w:type="dxa"/>
            <w:vAlign w:val="bottom"/>
            <w:tcBorders>
              <w:left w:val="single" w:sz="8" w:color="0063A6"/>
            </w:tcBorders>
            <w:shd w:val="clear" w:color="auto" w:fill="0063A6"/>
          </w:tcPr>
          <w:p>
            <w:pPr>
              <w:spacing w:after="0"/>
              <w:rPr>
                <w:sz w:val="5"/>
                <w:szCs w:val="5"/>
                <w:color w:val="auto"/>
              </w:rPr>
            </w:pPr>
          </w:p>
        </w:tc>
        <w:tc>
          <w:tcPr>
            <w:tcW w:w="480" w:type="dxa"/>
            <w:vAlign w:val="bottom"/>
            <w:tcBorders>
              <w:right w:val="single" w:sz="8" w:color="0063A6"/>
            </w:tcBorders>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20" w:type="dxa"/>
            <w:vAlign w:val="bottom"/>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5740" w:type="dxa"/>
            <w:vAlign w:val="bottom"/>
            <w:shd w:val="clear" w:color="auto" w:fill="0063A6"/>
          </w:tcPr>
          <w:p>
            <w:pPr>
              <w:spacing w:after="0"/>
              <w:rPr>
                <w:sz w:val="5"/>
                <w:szCs w:val="5"/>
                <w:color w:val="auto"/>
              </w:rPr>
            </w:pPr>
          </w:p>
        </w:tc>
        <w:tc>
          <w:tcPr>
            <w:tcW w:w="60" w:type="dxa"/>
            <w:vAlign w:val="bottom"/>
            <w:tcBorders>
              <w:right w:val="single" w:sz="8" w:color="0063A6"/>
            </w:tcBorders>
            <w:shd w:val="clear" w:color="auto" w:fill="0063A6"/>
          </w:tcPr>
          <w:p>
            <w:pPr>
              <w:spacing w:after="0"/>
              <w:rPr>
                <w:sz w:val="5"/>
                <w:szCs w:val="5"/>
                <w:color w:val="auto"/>
              </w:rPr>
            </w:pPr>
          </w:p>
        </w:tc>
      </w:tr>
      <w:tr>
        <w:trPr>
          <w:trHeight w:val="258"/>
        </w:trPr>
        <w:tc>
          <w:tcPr>
            <w:tcW w:w="1880" w:type="dxa"/>
            <w:vAlign w:val="bottom"/>
            <w:tcBorders>
              <w:lef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480" w:type="dxa"/>
            <w:vAlign w:val="bottom"/>
            <w:tcBorders>
              <w:right w:val="single" w:sz="8" w:color="0063A6"/>
            </w:tcBorders>
          </w:tcPr>
          <w:p>
            <w:pPr>
              <w:spacing w:after="0"/>
              <w:rPr>
                <w:sz w:val="22"/>
                <w:szCs w:val="22"/>
                <w:color w:val="auto"/>
              </w:rPr>
            </w:pPr>
          </w:p>
        </w:tc>
        <w:tc>
          <w:tcPr>
            <w:tcW w:w="100" w:type="dxa"/>
            <w:vAlign w:val="bottom"/>
          </w:tcPr>
          <w:p>
            <w:pPr>
              <w:spacing w:after="0"/>
              <w:rPr>
                <w:sz w:val="22"/>
                <w:szCs w:val="22"/>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w:t>
            </w:r>
          </w:p>
        </w:tc>
        <w:tc>
          <w:tcPr>
            <w:tcW w:w="60" w:type="dxa"/>
            <w:vAlign w:val="bottom"/>
            <w:tcBorders>
              <w:right w:val="single" w:sz="8" w:color="0063A6"/>
            </w:tcBorders>
          </w:tcPr>
          <w:p>
            <w:pPr>
              <w:spacing w:after="0"/>
              <w:rPr>
                <w:sz w:val="22"/>
                <w:szCs w:val="22"/>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stockholders following the effective date of the policy, an annual award of RSUs, each of which we</w:t>
            </w:r>
          </w:p>
        </w:tc>
        <w:tc>
          <w:tcPr>
            <w:tcW w:w="60" w:type="dxa"/>
            <w:vAlign w:val="bottom"/>
            <w:tcBorders>
              <w:right w:val="single" w:sz="8" w:color="0063A6"/>
            </w:tcBorders>
          </w:tcPr>
          <w:p>
            <w:pPr>
              <w:spacing w:after="0"/>
              <w:rPr>
                <w:sz w:val="16"/>
                <w:szCs w:val="16"/>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refer to as an Annual Award.</w:t>
            </w:r>
          </w:p>
        </w:tc>
        <w:tc>
          <w:tcPr>
            <w:tcW w:w="60" w:type="dxa"/>
            <w:vAlign w:val="bottom"/>
            <w:tcBorders>
              <w:right w:val="single" w:sz="8" w:color="0063A6"/>
            </w:tcBorders>
          </w:tcPr>
          <w:p>
            <w:pPr>
              <w:spacing w:after="0"/>
              <w:rPr>
                <w:sz w:val="16"/>
                <w:szCs w:val="16"/>
                <w:color w:val="auto"/>
              </w:rPr>
            </w:pPr>
          </w:p>
        </w:tc>
      </w:tr>
      <w:tr>
        <w:trPr>
          <w:trHeight w:val="173"/>
        </w:trPr>
        <w:tc>
          <w:tcPr>
            <w:tcW w:w="1880" w:type="dxa"/>
            <w:vAlign w:val="bottom"/>
            <w:tcBorders>
              <w:left w:val="single" w:sz="8" w:color="0063A6"/>
            </w:tcBorders>
          </w:tcPr>
          <w:p>
            <w:pPr>
              <w:spacing w:after="0"/>
              <w:rPr>
                <w:sz w:val="15"/>
                <w:szCs w:val="15"/>
                <w:color w:val="auto"/>
              </w:rPr>
            </w:pPr>
          </w:p>
        </w:tc>
        <w:tc>
          <w:tcPr>
            <w:tcW w:w="4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7040" w:type="dxa"/>
            <w:vAlign w:val="bottom"/>
            <w:gridSpan w:val="3"/>
          </w:tcPr>
          <w:p>
            <w:pPr>
              <w:spacing w:after="0" w:line="173" w:lineRule="exact"/>
              <w:rPr>
                <w:sz w:val="20"/>
                <w:szCs w:val="20"/>
                <w:color w:val="auto"/>
              </w:rPr>
            </w:pPr>
            <w:r>
              <w:rPr>
                <w:rFonts w:ascii="Arial" w:cs="Arial" w:eastAsia="Arial" w:hAnsi="Arial"/>
                <w:sz w:val="16"/>
                <w:szCs w:val="16"/>
                <w:color w:val="auto"/>
              </w:rPr>
              <w:t> </w:t>
            </w:r>
          </w:p>
        </w:tc>
        <w:tc>
          <w:tcPr>
            <w:tcW w:w="60" w:type="dxa"/>
            <w:vAlign w:val="bottom"/>
            <w:tcBorders>
              <w:right w:val="single" w:sz="8" w:color="0063A6"/>
            </w:tcBorders>
          </w:tcPr>
          <w:p>
            <w:pPr>
              <w:spacing w:after="0"/>
              <w:rPr>
                <w:sz w:val="15"/>
                <w:szCs w:val="15"/>
                <w:color w:val="auto"/>
              </w:rPr>
            </w:pPr>
          </w:p>
        </w:tc>
      </w:tr>
      <w:tr>
        <w:trPr>
          <w:trHeight w:val="176"/>
        </w:trPr>
        <w:tc>
          <w:tcPr>
            <w:tcW w:w="1880" w:type="dxa"/>
            <w:vAlign w:val="bottom"/>
            <w:tcBorders>
              <w:left w:val="single" w:sz="8" w:color="0063A6"/>
            </w:tcBorders>
          </w:tcPr>
          <w:p>
            <w:pPr>
              <w:spacing w:after="0"/>
              <w:rPr>
                <w:sz w:val="15"/>
                <w:szCs w:val="15"/>
                <w:color w:val="auto"/>
              </w:rPr>
            </w:pPr>
          </w:p>
        </w:tc>
        <w:tc>
          <w:tcPr>
            <w:tcW w:w="4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7040" w:type="dxa"/>
            <w:vAlign w:val="bottom"/>
            <w:gridSpan w:val="3"/>
          </w:tcPr>
          <w:p>
            <w:pPr>
              <w:spacing w:after="0" w:line="176" w:lineRule="exact"/>
              <w:rPr>
                <w:sz w:val="20"/>
                <w:szCs w:val="20"/>
                <w:color w:val="auto"/>
              </w:rPr>
            </w:pPr>
            <w:r>
              <w:rPr>
                <w:rFonts w:ascii="Arial" w:cs="Arial" w:eastAsia="Arial" w:hAnsi="Arial"/>
                <w:sz w:val="16"/>
                <w:szCs w:val="16"/>
                <w:i w:val="1"/>
                <w:iCs w:val="1"/>
                <w:color w:val="auto"/>
              </w:rPr>
              <w:t>Number of Shares</w:t>
            </w:r>
          </w:p>
        </w:tc>
        <w:tc>
          <w:tcPr>
            <w:tcW w:w="60" w:type="dxa"/>
            <w:vAlign w:val="bottom"/>
            <w:tcBorders>
              <w:right w:val="single" w:sz="8" w:color="0063A6"/>
            </w:tcBorders>
          </w:tcPr>
          <w:p>
            <w:pPr>
              <w:spacing w:after="0"/>
              <w:rPr>
                <w:sz w:val="15"/>
                <w:szCs w:val="15"/>
                <w:color w:val="auto"/>
              </w:rPr>
            </w:pPr>
          </w:p>
        </w:tc>
      </w:tr>
      <w:tr>
        <w:trPr>
          <w:trHeight w:val="198"/>
        </w:trPr>
        <w:tc>
          <w:tcPr>
            <w:tcW w:w="1880" w:type="dxa"/>
            <w:vAlign w:val="bottom"/>
            <w:tcBorders>
              <w:left w:val="single" w:sz="8" w:color="0063A6"/>
            </w:tcBorders>
          </w:tcPr>
          <w:p>
            <w:pPr>
              <w:spacing w:after="0"/>
              <w:rPr>
                <w:sz w:val="17"/>
                <w:szCs w:val="17"/>
                <w:color w:val="auto"/>
              </w:rPr>
            </w:pPr>
          </w:p>
        </w:tc>
        <w:tc>
          <w:tcPr>
            <w:tcW w:w="480" w:type="dxa"/>
            <w:vAlign w:val="bottom"/>
            <w:tcBorders>
              <w:right w:val="single" w:sz="8" w:color="0063A6"/>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w:t>
            </w:r>
          </w:p>
        </w:tc>
        <w:tc>
          <w:tcPr>
            <w:tcW w:w="5740" w:type="dxa"/>
            <w:vAlign w:val="bottom"/>
          </w:tcPr>
          <w:p>
            <w:pPr>
              <w:spacing w:after="0"/>
              <w:rPr>
                <w:sz w:val="17"/>
                <w:szCs w:val="17"/>
                <w:color w:val="auto"/>
              </w:rPr>
            </w:pPr>
          </w:p>
        </w:tc>
        <w:tc>
          <w:tcPr>
            <w:tcW w:w="60" w:type="dxa"/>
            <w:vAlign w:val="bottom"/>
            <w:tcBorders>
              <w:right w:val="single" w:sz="8" w:color="0063A6"/>
            </w:tcBorders>
          </w:tcPr>
          <w:p>
            <w:pPr>
              <w:spacing w:after="0"/>
              <w:rPr>
                <w:sz w:val="17"/>
                <w:szCs w:val="17"/>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w:t>
            </w:r>
          </w:p>
        </w:tc>
        <w:tc>
          <w:tcPr>
            <w:tcW w:w="60" w:type="dxa"/>
            <w:vAlign w:val="bottom"/>
            <w:tcBorders>
              <w:right w:val="single" w:sz="8" w:color="0063A6"/>
            </w:tcBorders>
          </w:tcPr>
          <w:p>
            <w:pPr>
              <w:spacing w:after="0"/>
              <w:rPr>
                <w:sz w:val="16"/>
                <w:szCs w:val="16"/>
                <w:color w:val="auto"/>
              </w:rPr>
            </w:pPr>
          </w:p>
        </w:tc>
      </w:tr>
      <w:tr>
        <w:trPr>
          <w:trHeight w:val="189"/>
        </w:trPr>
        <w:tc>
          <w:tcPr>
            <w:tcW w:w="188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480" w:type="dxa"/>
            <w:vAlign w:val="bottom"/>
            <w:tcBorders>
              <w:right w:val="single" w:sz="8" w:color="0063A6"/>
            </w:tcBorders>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7040" w:type="dxa"/>
            <w:vAlign w:val="bottom"/>
            <w:gridSpan w:val="3"/>
          </w:tcPr>
          <w:p>
            <w:pPr>
              <w:spacing w:after="0"/>
              <w:rPr>
                <w:sz w:val="20"/>
                <w:szCs w:val="20"/>
                <w:color w:val="auto"/>
              </w:rPr>
            </w:pPr>
            <w:r>
              <w:rPr>
                <w:rFonts w:ascii="Arial" w:cs="Arial" w:eastAsia="Arial" w:hAnsi="Arial"/>
                <w:sz w:val="16"/>
                <w:szCs w:val="16"/>
                <w:color w:val="auto"/>
              </w:rPr>
              <w:t>fair value (determined in accordance with GAAP) of $250,000, rounded to the nearest whole</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share.</w:t>
            </w:r>
          </w:p>
        </w:tc>
        <w:tc>
          <w:tcPr>
            <w:tcW w:w="60" w:type="dxa"/>
            <w:vAlign w:val="bottom"/>
            <w:tcBorders>
              <w:right w:val="single" w:sz="8" w:color="0063A6"/>
            </w:tcBorders>
          </w:tcPr>
          <w:p>
            <w:pPr>
              <w:spacing w:after="0"/>
              <w:rPr>
                <w:sz w:val="16"/>
                <w:szCs w:val="16"/>
                <w:color w:val="auto"/>
              </w:rPr>
            </w:pPr>
          </w:p>
        </w:tc>
      </w:tr>
      <w:tr>
        <w:trPr>
          <w:trHeight w:val="173"/>
        </w:trPr>
        <w:tc>
          <w:tcPr>
            <w:tcW w:w="1880" w:type="dxa"/>
            <w:vAlign w:val="bottom"/>
            <w:tcBorders>
              <w:left w:val="single" w:sz="8" w:color="0063A6"/>
            </w:tcBorders>
          </w:tcPr>
          <w:p>
            <w:pPr>
              <w:spacing w:after="0"/>
              <w:rPr>
                <w:sz w:val="15"/>
                <w:szCs w:val="15"/>
                <w:color w:val="auto"/>
              </w:rPr>
            </w:pPr>
          </w:p>
        </w:tc>
        <w:tc>
          <w:tcPr>
            <w:tcW w:w="4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7040" w:type="dxa"/>
            <w:vAlign w:val="bottom"/>
            <w:gridSpan w:val="3"/>
          </w:tcPr>
          <w:p>
            <w:pPr>
              <w:spacing w:after="0" w:line="173" w:lineRule="exact"/>
              <w:rPr>
                <w:sz w:val="20"/>
                <w:szCs w:val="20"/>
                <w:color w:val="auto"/>
              </w:rPr>
            </w:pPr>
            <w:r>
              <w:rPr>
                <w:rFonts w:ascii="Arial" w:cs="Arial" w:eastAsia="Arial" w:hAnsi="Arial"/>
                <w:sz w:val="16"/>
                <w:szCs w:val="16"/>
                <w:color w:val="auto"/>
              </w:rPr>
              <w:t> </w:t>
            </w:r>
          </w:p>
        </w:tc>
        <w:tc>
          <w:tcPr>
            <w:tcW w:w="60" w:type="dxa"/>
            <w:vAlign w:val="bottom"/>
            <w:tcBorders>
              <w:right w:val="single" w:sz="8" w:color="0063A6"/>
            </w:tcBorders>
          </w:tcPr>
          <w:p>
            <w:pPr>
              <w:spacing w:after="0"/>
              <w:rPr>
                <w:sz w:val="15"/>
                <w:szCs w:val="15"/>
                <w:color w:val="auto"/>
              </w:rPr>
            </w:pPr>
          </w:p>
        </w:tc>
      </w:tr>
      <w:tr>
        <w:trPr>
          <w:trHeight w:val="176"/>
        </w:trPr>
        <w:tc>
          <w:tcPr>
            <w:tcW w:w="1880" w:type="dxa"/>
            <w:vAlign w:val="bottom"/>
            <w:tcBorders>
              <w:left w:val="single" w:sz="8" w:color="0063A6"/>
            </w:tcBorders>
          </w:tcPr>
          <w:p>
            <w:pPr>
              <w:spacing w:after="0"/>
              <w:rPr>
                <w:sz w:val="15"/>
                <w:szCs w:val="15"/>
                <w:color w:val="auto"/>
              </w:rPr>
            </w:pPr>
          </w:p>
        </w:tc>
        <w:tc>
          <w:tcPr>
            <w:tcW w:w="480" w:type="dxa"/>
            <w:vAlign w:val="bottom"/>
            <w:tcBorders>
              <w:right w:val="single" w:sz="8" w:color="0063A6"/>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i w:val="1"/>
                <w:iCs w:val="1"/>
                <w:color w:val="auto"/>
                <w:w w:val="99"/>
              </w:rPr>
              <w:t>Vesting of Award</w:t>
            </w:r>
          </w:p>
        </w:tc>
        <w:tc>
          <w:tcPr>
            <w:tcW w:w="5820" w:type="dxa"/>
            <w:vAlign w:val="bottom"/>
            <w:gridSpan w:val="2"/>
          </w:tcPr>
          <w:p>
            <w:pPr>
              <w:spacing w:after="0"/>
              <w:rPr>
                <w:sz w:val="15"/>
                <w:szCs w:val="15"/>
                <w:color w:val="auto"/>
              </w:rPr>
            </w:pPr>
          </w:p>
        </w:tc>
        <w:tc>
          <w:tcPr>
            <w:tcW w:w="60" w:type="dxa"/>
            <w:vAlign w:val="bottom"/>
            <w:tcBorders>
              <w:right w:val="single" w:sz="8" w:color="0063A6"/>
            </w:tcBorders>
          </w:tcPr>
          <w:p>
            <w:pPr>
              <w:spacing w:after="0"/>
              <w:rPr>
                <w:sz w:val="15"/>
                <w:szCs w:val="15"/>
                <w:color w:val="auto"/>
              </w:rPr>
            </w:pPr>
          </w:p>
        </w:tc>
      </w:tr>
      <w:tr>
        <w:trPr>
          <w:trHeight w:val="198"/>
        </w:trPr>
        <w:tc>
          <w:tcPr>
            <w:tcW w:w="1880" w:type="dxa"/>
            <w:vAlign w:val="bottom"/>
            <w:tcBorders>
              <w:left w:val="single" w:sz="8" w:color="0063A6"/>
            </w:tcBorders>
          </w:tcPr>
          <w:p>
            <w:pPr>
              <w:spacing w:after="0"/>
              <w:rPr>
                <w:sz w:val="17"/>
                <w:szCs w:val="17"/>
                <w:color w:val="auto"/>
              </w:rPr>
            </w:pPr>
          </w:p>
        </w:tc>
        <w:tc>
          <w:tcPr>
            <w:tcW w:w="480" w:type="dxa"/>
            <w:vAlign w:val="bottom"/>
            <w:tcBorders>
              <w:right w:val="single" w:sz="8" w:color="0063A6"/>
            </w:tcBorders>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 </w:t>
            </w:r>
          </w:p>
        </w:tc>
        <w:tc>
          <w:tcPr>
            <w:tcW w:w="60" w:type="dxa"/>
            <w:vAlign w:val="bottom"/>
            <w:tcBorders>
              <w:right w:val="single" w:sz="8" w:color="0063A6"/>
            </w:tcBorders>
          </w:tcPr>
          <w:p>
            <w:pPr>
              <w:spacing w:after="0"/>
              <w:rPr>
                <w:sz w:val="17"/>
                <w:szCs w:val="17"/>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w:t>
            </w:r>
          </w:p>
        </w:tc>
        <w:tc>
          <w:tcPr>
            <w:tcW w:w="60" w:type="dxa"/>
            <w:vAlign w:val="bottom"/>
            <w:tcBorders>
              <w:right w:val="single" w:sz="8" w:color="0063A6"/>
            </w:tcBorders>
          </w:tcPr>
          <w:p>
            <w:pPr>
              <w:spacing w:after="0"/>
              <w:rPr>
                <w:sz w:val="16"/>
                <w:szCs w:val="16"/>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if earlier, the day before our annual meeting of stockholders that follows the grant date of the</w:t>
            </w:r>
          </w:p>
        </w:tc>
        <w:tc>
          <w:tcPr>
            <w:tcW w:w="60" w:type="dxa"/>
            <w:vAlign w:val="bottom"/>
            <w:tcBorders>
              <w:right w:val="single" w:sz="8" w:color="0063A6"/>
            </w:tcBorders>
          </w:tcPr>
          <w:p>
            <w:pPr>
              <w:spacing w:after="0"/>
              <w:rPr>
                <w:sz w:val="16"/>
                <w:szCs w:val="16"/>
                <w:color w:val="auto"/>
              </w:rPr>
            </w:pP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Annual Award, subject to the non-employee director continuing to provide services to us through</w:t>
            </w:r>
          </w:p>
        </w:tc>
        <w:tc>
          <w:tcPr>
            <w:tcW w:w="60" w:type="dxa"/>
            <w:vAlign w:val="bottom"/>
            <w:tcBorders>
              <w:right w:val="single" w:sz="8" w:color="0063A6"/>
            </w:tcBorders>
          </w:tcPr>
          <w:p>
            <w:pPr>
              <w:spacing w:after="0"/>
              <w:rPr>
                <w:sz w:val="16"/>
                <w:szCs w:val="16"/>
                <w:color w:val="auto"/>
              </w:rPr>
            </w:pPr>
          </w:p>
        </w:tc>
      </w:tr>
      <w:tr>
        <w:trPr>
          <w:trHeight w:val="195"/>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the applicable vesting date.</w:t>
            </w:r>
          </w:p>
        </w:tc>
        <w:tc>
          <w:tcPr>
            <w:tcW w:w="60" w:type="dxa"/>
            <w:vAlign w:val="bottom"/>
            <w:tcBorders>
              <w:right w:val="single" w:sz="8" w:color="0063A6"/>
            </w:tcBorders>
          </w:tcPr>
          <w:p>
            <w:pPr>
              <w:spacing w:after="0"/>
              <w:rPr>
                <w:sz w:val="16"/>
                <w:szCs w:val="16"/>
                <w:color w:val="auto"/>
              </w:rPr>
            </w:pPr>
          </w:p>
        </w:tc>
      </w:tr>
      <w:tr>
        <w:trPr>
          <w:trHeight w:val="60"/>
        </w:trPr>
        <w:tc>
          <w:tcPr>
            <w:tcW w:w="1880" w:type="dxa"/>
            <w:vAlign w:val="bottom"/>
            <w:tcBorders>
              <w:left w:val="single" w:sz="8" w:color="0063A6"/>
              <w:bottom w:val="single" w:sz="8" w:color="0063A6"/>
            </w:tcBorders>
          </w:tcPr>
          <w:p>
            <w:pPr>
              <w:spacing w:after="0"/>
              <w:rPr>
                <w:sz w:val="5"/>
                <w:szCs w:val="5"/>
                <w:color w:val="auto"/>
              </w:rPr>
            </w:pPr>
          </w:p>
        </w:tc>
        <w:tc>
          <w:tcPr>
            <w:tcW w:w="480" w:type="dxa"/>
            <w:vAlign w:val="bottom"/>
            <w:tcBorders>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740" w:type="dxa"/>
            <w:vAlign w:val="bottom"/>
            <w:tcBorders>
              <w:bottom w:val="single" w:sz="8" w:color="0063A6"/>
            </w:tcBorders>
          </w:tcPr>
          <w:p>
            <w:pPr>
              <w:spacing w:after="0"/>
              <w:rPr>
                <w:sz w:val="5"/>
                <w:szCs w:val="5"/>
                <w:color w:val="auto"/>
              </w:rPr>
            </w:pPr>
          </w:p>
        </w:tc>
        <w:tc>
          <w:tcPr>
            <w:tcW w:w="60" w:type="dxa"/>
            <w:vAlign w:val="bottom"/>
            <w:tcBorders>
              <w:bottom w:val="single" w:sz="8" w:color="0063A6"/>
              <w:right w:val="single" w:sz="8" w:color="0063A6"/>
            </w:tcBorders>
          </w:tcPr>
          <w:p>
            <w:pPr>
              <w:spacing w:after="0"/>
              <w:rPr>
                <w:sz w:val="5"/>
                <w:szCs w:val="5"/>
                <w:color w:val="auto"/>
              </w:rPr>
            </w:pPr>
          </w:p>
        </w:tc>
      </w:tr>
      <w:tr>
        <w:trPr>
          <w:trHeight w:val="252"/>
        </w:trPr>
        <w:tc>
          <w:tcPr>
            <w:tcW w:w="1880" w:type="dxa"/>
            <w:vAlign w:val="bottom"/>
            <w:tcBorders>
              <w:lef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480" w:type="dxa"/>
            <w:vAlign w:val="bottom"/>
            <w:tcBorders>
              <w:right w:val="single" w:sz="8" w:color="0063A6"/>
            </w:tcBorders>
          </w:tcPr>
          <w:p>
            <w:pPr>
              <w:spacing w:after="0"/>
              <w:rPr>
                <w:sz w:val="21"/>
                <w:szCs w:val="21"/>
                <w:color w:val="auto"/>
              </w:rPr>
            </w:pPr>
          </w:p>
        </w:tc>
        <w:tc>
          <w:tcPr>
            <w:tcW w:w="100" w:type="dxa"/>
            <w:vAlign w:val="bottom"/>
          </w:tcPr>
          <w:p>
            <w:pPr>
              <w:spacing w:after="0"/>
              <w:rPr>
                <w:sz w:val="21"/>
                <w:szCs w:val="21"/>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w:t>
            </w:r>
          </w:p>
        </w:tc>
        <w:tc>
          <w:tcPr>
            <w:tcW w:w="60" w:type="dxa"/>
            <w:vAlign w:val="bottom"/>
            <w:tcBorders>
              <w:right w:val="single" w:sz="8" w:color="0063A6"/>
            </w:tcBorders>
          </w:tcPr>
          <w:p>
            <w:pPr>
              <w:spacing w:after="0"/>
              <w:rPr>
                <w:sz w:val="21"/>
                <w:szCs w:val="21"/>
                <w:color w:val="auto"/>
              </w:rPr>
            </w:pPr>
          </w:p>
        </w:tc>
      </w:tr>
      <w:tr>
        <w:trPr>
          <w:trHeight w:val="189"/>
        </w:trPr>
        <w:tc>
          <w:tcPr>
            <w:tcW w:w="188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480" w:type="dxa"/>
            <w:vAlign w:val="bottom"/>
            <w:tcBorders>
              <w:right w:val="single" w:sz="8" w:color="0063A6"/>
            </w:tcBorders>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7040" w:type="dxa"/>
            <w:vAlign w:val="bottom"/>
            <w:gridSpan w:val="3"/>
          </w:tcPr>
          <w:p>
            <w:pPr>
              <w:spacing w:after="0"/>
              <w:rPr>
                <w:sz w:val="20"/>
                <w:szCs w:val="20"/>
                <w:color w:val="auto"/>
              </w:rPr>
            </w:pPr>
            <w:r>
              <w:rPr>
                <w:rFonts w:ascii="Arial" w:cs="Arial" w:eastAsia="Arial" w:hAnsi="Arial"/>
                <w:sz w:val="16"/>
                <w:szCs w:val="16"/>
                <w:color w:val="auto"/>
              </w:rPr>
              <w:t>or Annual Award that would otherwise be delivered to such non-employee director on or following</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the date such award vests pursuant to the terms of a deferral election such non-employee director</w:t>
            </w:r>
          </w:p>
        </w:tc>
        <w:tc>
          <w:tcPr>
            <w:tcW w:w="60" w:type="dxa"/>
            <w:vAlign w:val="bottom"/>
            <w:tcBorders>
              <w:right w:val="single" w:sz="8" w:color="0063A6"/>
            </w:tcBorders>
          </w:tcPr>
          <w:p>
            <w:pPr>
              <w:spacing w:after="0"/>
              <w:rPr>
                <w:sz w:val="16"/>
                <w:szCs w:val="16"/>
                <w:color w:val="auto"/>
              </w:rPr>
            </w:pPr>
          </w:p>
        </w:tc>
      </w:tr>
      <w:tr>
        <w:trPr>
          <w:trHeight w:val="195"/>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makes in accordance with the policy.</w:t>
            </w:r>
          </w:p>
        </w:tc>
        <w:tc>
          <w:tcPr>
            <w:tcW w:w="60" w:type="dxa"/>
            <w:vAlign w:val="bottom"/>
            <w:tcBorders>
              <w:right w:val="single" w:sz="8" w:color="0063A6"/>
            </w:tcBorders>
          </w:tcPr>
          <w:p>
            <w:pPr>
              <w:spacing w:after="0"/>
              <w:rPr>
                <w:sz w:val="16"/>
                <w:szCs w:val="16"/>
                <w:color w:val="auto"/>
              </w:rPr>
            </w:pPr>
          </w:p>
        </w:tc>
      </w:tr>
      <w:tr>
        <w:trPr>
          <w:trHeight w:val="60"/>
        </w:trPr>
        <w:tc>
          <w:tcPr>
            <w:tcW w:w="1880" w:type="dxa"/>
            <w:vAlign w:val="bottom"/>
            <w:tcBorders>
              <w:left w:val="single" w:sz="8" w:color="0063A6"/>
              <w:bottom w:val="single" w:sz="8" w:color="0063A6"/>
            </w:tcBorders>
          </w:tcPr>
          <w:p>
            <w:pPr>
              <w:spacing w:after="0"/>
              <w:rPr>
                <w:sz w:val="5"/>
                <w:szCs w:val="5"/>
                <w:color w:val="auto"/>
              </w:rPr>
            </w:pPr>
          </w:p>
        </w:tc>
        <w:tc>
          <w:tcPr>
            <w:tcW w:w="480" w:type="dxa"/>
            <w:vAlign w:val="bottom"/>
            <w:tcBorders>
              <w:bottom w:val="single" w:sz="8" w:color="0063A6"/>
              <w:right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2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5740" w:type="dxa"/>
            <w:vAlign w:val="bottom"/>
            <w:tcBorders>
              <w:bottom w:val="single" w:sz="8" w:color="0063A6"/>
            </w:tcBorders>
          </w:tcPr>
          <w:p>
            <w:pPr>
              <w:spacing w:after="0"/>
              <w:rPr>
                <w:sz w:val="5"/>
                <w:szCs w:val="5"/>
                <w:color w:val="auto"/>
              </w:rPr>
            </w:pPr>
          </w:p>
        </w:tc>
        <w:tc>
          <w:tcPr>
            <w:tcW w:w="60" w:type="dxa"/>
            <w:vAlign w:val="bottom"/>
            <w:tcBorders>
              <w:bottom w:val="single" w:sz="8" w:color="0063A6"/>
              <w:right w:val="single" w:sz="8" w:color="0063A6"/>
            </w:tcBorders>
          </w:tcPr>
          <w:p>
            <w:pPr>
              <w:spacing w:after="0"/>
              <w:rPr>
                <w:sz w:val="5"/>
                <w:szCs w:val="5"/>
                <w:color w:val="auto"/>
              </w:rPr>
            </w:pPr>
          </w:p>
        </w:tc>
      </w:tr>
      <w:tr>
        <w:trPr>
          <w:trHeight w:val="252"/>
        </w:trPr>
        <w:tc>
          <w:tcPr>
            <w:tcW w:w="1880" w:type="dxa"/>
            <w:vAlign w:val="bottom"/>
            <w:tcBorders>
              <w:lef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480" w:type="dxa"/>
            <w:vAlign w:val="bottom"/>
            <w:tcBorders>
              <w:right w:val="single" w:sz="8" w:color="0063A6"/>
            </w:tcBorders>
          </w:tcPr>
          <w:p>
            <w:pPr>
              <w:spacing w:after="0"/>
              <w:rPr>
                <w:sz w:val="21"/>
                <w:szCs w:val="21"/>
                <w:color w:val="auto"/>
              </w:rPr>
            </w:pPr>
          </w:p>
        </w:tc>
        <w:tc>
          <w:tcPr>
            <w:tcW w:w="100" w:type="dxa"/>
            <w:vAlign w:val="bottom"/>
          </w:tcPr>
          <w:p>
            <w:pPr>
              <w:spacing w:after="0"/>
              <w:rPr>
                <w:sz w:val="21"/>
                <w:szCs w:val="21"/>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w:t>
            </w:r>
          </w:p>
        </w:tc>
        <w:tc>
          <w:tcPr>
            <w:tcW w:w="60" w:type="dxa"/>
            <w:vAlign w:val="bottom"/>
            <w:tcBorders>
              <w:right w:val="single" w:sz="8" w:color="0063A6"/>
            </w:tcBorders>
          </w:tcPr>
          <w:p>
            <w:pPr>
              <w:spacing w:after="0"/>
              <w:rPr>
                <w:sz w:val="21"/>
                <w:szCs w:val="21"/>
                <w:color w:val="auto"/>
              </w:rPr>
            </w:pPr>
          </w:p>
        </w:tc>
      </w:tr>
      <w:tr>
        <w:trPr>
          <w:trHeight w:val="189"/>
        </w:trPr>
        <w:tc>
          <w:tcPr>
            <w:tcW w:w="1880" w:type="dxa"/>
            <w:vAlign w:val="bottom"/>
            <w:tcBorders>
              <w:left w:val="single" w:sz="8" w:color="0063A6"/>
            </w:tcBorders>
          </w:tcPr>
          <w:p>
            <w:pPr>
              <w:ind w:left="20"/>
              <w:spacing w:after="0"/>
              <w:rPr>
                <w:sz w:val="20"/>
                <w:szCs w:val="20"/>
                <w:color w:val="auto"/>
              </w:rPr>
            </w:pPr>
            <w:r>
              <w:rPr>
                <w:rFonts w:ascii="Arial" w:cs="Arial" w:eastAsia="Arial" w:hAnsi="Arial"/>
                <w:sz w:val="4"/>
                <w:szCs w:val="4"/>
                <w:color w:val="auto"/>
              </w:rPr>
              <w:t>​</w:t>
            </w:r>
          </w:p>
        </w:tc>
        <w:tc>
          <w:tcPr>
            <w:tcW w:w="480" w:type="dxa"/>
            <w:vAlign w:val="bottom"/>
            <w:tcBorders>
              <w:right w:val="single" w:sz="8" w:color="0063A6"/>
            </w:tcBorders>
          </w:tcPr>
          <w:p>
            <w:pPr>
              <w:ind w:left="3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7040" w:type="dxa"/>
            <w:vAlign w:val="bottom"/>
            <w:gridSpan w:val="3"/>
          </w:tcPr>
          <w:p>
            <w:pPr>
              <w:spacing w:after="0"/>
              <w:rPr>
                <w:sz w:val="20"/>
                <w:szCs w:val="20"/>
                <w:color w:val="auto"/>
              </w:rPr>
            </w:pPr>
            <w:r>
              <w:rPr>
                <w:rFonts w:ascii="Arial" w:cs="Arial" w:eastAsia="Arial" w:hAnsi="Arial"/>
                <w:sz w:val="16"/>
                <w:szCs w:val="16"/>
                <w:color w:val="auto"/>
              </w:rPr>
              <w:t>employee director will fully vest in his or her outstanding company equity awards, including any</w:t>
            </w:r>
          </w:p>
        </w:tc>
        <w:tc>
          <w:tcPr>
            <w:tcW w:w="60" w:type="dxa"/>
            <w:vAlign w:val="bottom"/>
            <w:tcBorders>
              <w:right w:val="single" w:sz="8" w:color="0063A6"/>
            </w:tcBorders>
          </w:tcPr>
          <w:p>
            <w:pPr>
              <w:ind w:left="20"/>
              <w:spacing w:after="0"/>
              <w:rPr>
                <w:sz w:val="20"/>
                <w:szCs w:val="20"/>
                <w:color w:val="auto"/>
              </w:rPr>
            </w:pPr>
            <w:r>
              <w:rPr>
                <w:rFonts w:ascii="Arial" w:cs="Arial" w:eastAsia="Arial" w:hAnsi="Arial"/>
                <w:sz w:val="2"/>
                <w:szCs w:val="2"/>
                <w:color w:val="auto"/>
                <w:w w:val="4294942296"/>
              </w:rPr>
              <w:t>​</w:t>
            </w:r>
          </w:p>
        </w:tc>
      </w:tr>
      <w:tr>
        <w:trPr>
          <w:trHeight w:val="189"/>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Initial Award or Annual Award, provided that the non-employee director continues to be a non-</w:t>
            </w:r>
          </w:p>
        </w:tc>
        <w:tc>
          <w:tcPr>
            <w:tcW w:w="60" w:type="dxa"/>
            <w:vAlign w:val="bottom"/>
            <w:tcBorders>
              <w:right w:val="single" w:sz="8" w:color="0063A6"/>
            </w:tcBorders>
          </w:tcPr>
          <w:p>
            <w:pPr>
              <w:spacing w:after="0"/>
              <w:rPr>
                <w:sz w:val="16"/>
                <w:szCs w:val="16"/>
                <w:color w:val="auto"/>
              </w:rPr>
            </w:pPr>
          </w:p>
        </w:tc>
      </w:tr>
      <w:tr>
        <w:trPr>
          <w:trHeight w:val="195"/>
        </w:trPr>
        <w:tc>
          <w:tcPr>
            <w:tcW w:w="1880" w:type="dxa"/>
            <w:vAlign w:val="bottom"/>
            <w:tcBorders>
              <w:left w:val="single" w:sz="8" w:color="0063A6"/>
            </w:tcBorders>
          </w:tcPr>
          <w:p>
            <w:pPr>
              <w:spacing w:after="0"/>
              <w:rPr>
                <w:sz w:val="16"/>
                <w:szCs w:val="16"/>
                <w:color w:val="auto"/>
              </w:rPr>
            </w:pPr>
          </w:p>
        </w:tc>
        <w:tc>
          <w:tcPr>
            <w:tcW w:w="480" w:type="dxa"/>
            <w:vAlign w:val="bottom"/>
            <w:tcBorders>
              <w:right w:val="single" w:sz="8" w:color="0063A6"/>
            </w:tcBorders>
          </w:tcPr>
          <w:p>
            <w:pPr>
              <w:spacing w:after="0"/>
              <w:rPr>
                <w:sz w:val="16"/>
                <w:szCs w:val="16"/>
                <w:color w:val="auto"/>
              </w:rPr>
            </w:pPr>
          </w:p>
        </w:tc>
        <w:tc>
          <w:tcPr>
            <w:tcW w:w="100" w:type="dxa"/>
            <w:vAlign w:val="bottom"/>
          </w:tcPr>
          <w:p>
            <w:pPr>
              <w:spacing w:after="0"/>
              <w:rPr>
                <w:sz w:val="16"/>
                <w:szCs w:val="16"/>
                <w:color w:val="auto"/>
              </w:rPr>
            </w:pPr>
          </w:p>
        </w:tc>
        <w:tc>
          <w:tcPr>
            <w:tcW w:w="7040" w:type="dxa"/>
            <w:vAlign w:val="bottom"/>
            <w:gridSpan w:val="3"/>
          </w:tcPr>
          <w:p>
            <w:pPr>
              <w:spacing w:after="0"/>
              <w:rPr>
                <w:sz w:val="20"/>
                <w:szCs w:val="20"/>
                <w:color w:val="auto"/>
              </w:rPr>
            </w:pPr>
            <w:r>
              <w:rPr>
                <w:rFonts w:ascii="Arial" w:cs="Arial" w:eastAsia="Arial" w:hAnsi="Arial"/>
                <w:sz w:val="16"/>
                <w:szCs w:val="16"/>
                <w:color w:val="auto"/>
              </w:rPr>
              <w:t>employee director through such date.</w:t>
            </w:r>
          </w:p>
        </w:tc>
        <w:tc>
          <w:tcPr>
            <w:tcW w:w="60" w:type="dxa"/>
            <w:vAlign w:val="bottom"/>
            <w:tcBorders>
              <w:right w:val="single" w:sz="8" w:color="0063A6"/>
            </w:tcBorders>
          </w:tcPr>
          <w:p>
            <w:pPr>
              <w:spacing w:after="0"/>
              <w:rPr>
                <w:sz w:val="16"/>
                <w:szCs w:val="16"/>
                <w:color w:val="auto"/>
              </w:rPr>
            </w:pPr>
          </w:p>
        </w:tc>
      </w:tr>
      <w:tr>
        <w:trPr>
          <w:trHeight w:val="47"/>
        </w:trPr>
        <w:tc>
          <w:tcPr>
            <w:tcW w:w="1880" w:type="dxa"/>
            <w:vAlign w:val="bottom"/>
            <w:tcBorders>
              <w:left w:val="single" w:sz="8" w:color="0063A6"/>
              <w:bottom w:val="single" w:sz="8" w:color="0063A6"/>
            </w:tcBorders>
          </w:tcPr>
          <w:p>
            <w:pPr>
              <w:spacing w:after="0"/>
              <w:rPr>
                <w:sz w:val="4"/>
                <w:szCs w:val="4"/>
                <w:color w:val="auto"/>
              </w:rPr>
            </w:pPr>
          </w:p>
        </w:tc>
        <w:tc>
          <w:tcPr>
            <w:tcW w:w="480" w:type="dxa"/>
            <w:vAlign w:val="bottom"/>
            <w:tcBorders>
              <w:bottom w:val="single" w:sz="8" w:color="0063A6"/>
              <w:right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5740" w:type="dxa"/>
            <w:vAlign w:val="bottom"/>
            <w:tcBorders>
              <w:bottom w:val="single" w:sz="8" w:color="0063A6"/>
            </w:tcBorders>
          </w:tcPr>
          <w:p>
            <w:pPr>
              <w:spacing w:after="0"/>
              <w:rPr>
                <w:sz w:val="4"/>
                <w:szCs w:val="4"/>
                <w:color w:val="auto"/>
              </w:rPr>
            </w:pPr>
          </w:p>
        </w:tc>
        <w:tc>
          <w:tcPr>
            <w:tcW w:w="60" w:type="dxa"/>
            <w:vAlign w:val="bottom"/>
            <w:tcBorders>
              <w:bottom w:val="single" w:sz="8" w:color="0063A6"/>
              <w:right w:val="single" w:sz="8" w:color="0063A6"/>
            </w:tcBorders>
          </w:tcPr>
          <w:p>
            <w:pPr>
              <w:spacing w:after="0"/>
              <w:rPr>
                <w:sz w:val="4"/>
                <w:szCs w:val="4"/>
                <w:color w:val="auto"/>
              </w:rPr>
            </w:pPr>
          </w:p>
        </w:tc>
      </w:tr>
    </w:tbl>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2022 Compensation</w:t>
      </w:r>
    </w:p>
    <w:p>
      <w:pPr>
        <w:spacing w:after="0" w:line="66"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The following table provides information regarding compensation of our non-employee directors for their service as directors, for the fiscal year ended December 31, 2022. Directors who are also our employees receive no additional compensation for their service as directors. During 2022, Mr. Houston was an employee and executive officer of the company and therefore, did not receive compensation as a director.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Mr. Houston’s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6077585" cy="2237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7585" cy="2237105"/>
                    </a:xfrm>
                    <a:prstGeom prst="rect">
                      <a:avLst/>
                    </a:prstGeom>
                    <a:noFill/>
                  </pic:spPr>
                </pic:pic>
              </a:graphicData>
            </a:graphic>
          </wp:anchor>
        </w:drawing>
      </w:r>
    </w:p>
    <w:p>
      <w:pPr>
        <w:spacing w:after="0" w:line="32"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2"/>
                <w:szCs w:val="22"/>
                <w:color w:val="auto"/>
              </w:rPr>
            </w:pPr>
          </w:p>
        </w:tc>
        <w:tc>
          <w:tcPr>
            <w:tcW w:w="1880" w:type="dxa"/>
            <w:vAlign w:val="bottom"/>
            <w:shd w:val="clear" w:color="auto" w:fill="0063A6"/>
          </w:tcPr>
          <w:p>
            <w:pPr>
              <w:spacing w:after="0"/>
              <w:rPr>
                <w:sz w:val="22"/>
                <w:szCs w:val="22"/>
                <w:color w:val="auto"/>
              </w:rPr>
            </w:pPr>
          </w:p>
        </w:tc>
        <w:tc>
          <w:tcPr>
            <w:tcW w:w="780" w:type="dxa"/>
            <w:vAlign w:val="bottom"/>
            <w:shd w:val="clear" w:color="auto" w:fill="0063A6"/>
          </w:tcPr>
          <w:p>
            <w:pPr>
              <w:spacing w:after="0"/>
              <w:rPr>
                <w:sz w:val="22"/>
                <w:szCs w:val="22"/>
                <w:color w:val="auto"/>
              </w:rPr>
            </w:pPr>
          </w:p>
        </w:tc>
        <w:tc>
          <w:tcPr>
            <w:tcW w:w="300" w:type="dxa"/>
            <w:vAlign w:val="bottom"/>
            <w:shd w:val="clear" w:color="auto" w:fill="0063A6"/>
          </w:tcPr>
          <w:p>
            <w:pPr>
              <w:spacing w:after="0"/>
              <w:rPr>
                <w:sz w:val="22"/>
                <w:szCs w:val="2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Fees Paid</w:t>
            </w:r>
          </w:p>
        </w:tc>
        <w:tc>
          <w:tcPr>
            <w:tcW w:w="280" w:type="dxa"/>
            <w:vAlign w:val="bottom"/>
            <w:shd w:val="clear" w:color="auto" w:fill="0063A6"/>
          </w:tcPr>
          <w:p>
            <w:pPr>
              <w:spacing w:after="0"/>
              <w:rPr>
                <w:sz w:val="22"/>
                <w:szCs w:val="22"/>
                <w:color w:val="auto"/>
              </w:rPr>
            </w:pPr>
          </w:p>
        </w:tc>
        <w:tc>
          <w:tcPr>
            <w:tcW w:w="200" w:type="dxa"/>
            <w:vAlign w:val="bottom"/>
            <w:shd w:val="clear" w:color="auto" w:fill="0063A6"/>
          </w:tcPr>
          <w:p>
            <w:pPr>
              <w:spacing w:after="0"/>
              <w:rPr>
                <w:sz w:val="22"/>
                <w:szCs w:val="22"/>
                <w:color w:val="auto"/>
              </w:rPr>
            </w:pPr>
          </w:p>
        </w:tc>
        <w:tc>
          <w:tcPr>
            <w:tcW w:w="13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140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320" w:type="dxa"/>
            <w:vAlign w:val="bottom"/>
            <w:shd w:val="clear" w:color="auto" w:fill="0063A6"/>
          </w:tcPr>
          <w:p>
            <w:pPr>
              <w:spacing w:after="0"/>
              <w:rPr>
                <w:sz w:val="22"/>
                <w:szCs w:val="22"/>
                <w:color w:val="auto"/>
              </w:rPr>
            </w:pPr>
          </w:p>
        </w:tc>
        <w:tc>
          <w:tcPr>
            <w:tcW w:w="1080" w:type="dxa"/>
            <w:vAlign w:val="bottom"/>
            <w:shd w:val="clear" w:color="auto" w:fill="0063A6"/>
          </w:tcPr>
          <w:p>
            <w:pPr>
              <w:spacing w:after="0"/>
              <w:rPr>
                <w:sz w:val="22"/>
                <w:szCs w:val="22"/>
                <w:color w:val="auto"/>
              </w:rPr>
            </w:pPr>
          </w:p>
        </w:tc>
        <w:tc>
          <w:tcPr>
            <w:tcW w:w="34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880" w:type="dxa"/>
            <w:vAlign w:val="bottom"/>
            <w:shd w:val="clear" w:color="auto" w:fill="0063A6"/>
          </w:tcPr>
          <w:p>
            <w:pPr>
              <w:spacing w:after="0"/>
              <w:rPr>
                <w:sz w:val="15"/>
                <w:szCs w:val="15"/>
                <w:color w:val="auto"/>
              </w:rPr>
            </w:pPr>
          </w:p>
        </w:tc>
        <w:tc>
          <w:tcPr>
            <w:tcW w:w="780" w:type="dxa"/>
            <w:vAlign w:val="bottom"/>
            <w:shd w:val="clear" w:color="auto" w:fill="0063A6"/>
          </w:tcPr>
          <w:p>
            <w:pPr>
              <w:ind w:left="720"/>
              <w:spacing w:after="0"/>
              <w:rPr>
                <w:sz w:val="20"/>
                <w:szCs w:val="20"/>
                <w:color w:val="auto"/>
              </w:rPr>
            </w:pPr>
            <w:r>
              <w:rPr>
                <w:rFonts w:ascii="Arial" w:cs="Arial" w:eastAsia="Arial" w:hAnsi="Arial"/>
                <w:sz w:val="4"/>
                <w:szCs w:val="4"/>
                <w:color w:val="auto"/>
              </w:rPr>
              <w:t>​</w:t>
            </w:r>
          </w:p>
        </w:tc>
        <w:tc>
          <w:tcPr>
            <w:tcW w:w="3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or</w:t>
            </w:r>
          </w:p>
        </w:tc>
        <w:tc>
          <w:tcPr>
            <w:tcW w:w="280" w:type="dxa"/>
            <w:vAlign w:val="bottom"/>
            <w:shd w:val="clear" w:color="auto" w:fill="0063A6"/>
          </w:tcPr>
          <w:p>
            <w:pPr>
              <w:ind w:left="22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320" w:type="dxa"/>
            <w:vAlign w:val="bottom"/>
            <w:vMerge w:val="restart"/>
            <w:shd w:val="clear" w:color="auto" w:fill="0063A6"/>
          </w:tcPr>
          <w:p>
            <w:pPr>
              <w:ind w:left="460"/>
              <w:spacing w:after="0"/>
              <w:rPr>
                <w:sz w:val="20"/>
                <w:szCs w:val="20"/>
                <w:color w:val="auto"/>
              </w:rPr>
            </w:pPr>
            <w:r>
              <w:rPr>
                <w:rFonts w:ascii="Arial" w:cs="Arial" w:eastAsia="Arial" w:hAnsi="Arial"/>
                <w:sz w:val="14"/>
                <w:szCs w:val="14"/>
                <w:b w:val="1"/>
                <w:bCs w:val="1"/>
                <w:color w:val="FFFFFF"/>
              </w:rPr>
              <w:t>Stock</w:t>
            </w:r>
          </w:p>
        </w:tc>
        <w:tc>
          <w:tcPr>
            <w:tcW w:w="18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40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3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0063A6"/>
          </w:tcPr>
          <w:p>
            <w:pPr>
              <w:spacing w:after="0"/>
              <w:rPr>
                <w:sz w:val="15"/>
                <w:szCs w:val="15"/>
                <w:color w:val="auto"/>
              </w:rPr>
            </w:pPr>
          </w:p>
        </w:tc>
        <w:tc>
          <w:tcPr>
            <w:tcW w:w="340" w:type="dxa"/>
            <w:vAlign w:val="bottom"/>
            <w:shd w:val="clear" w:color="auto" w:fill="0063A6"/>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35"/>
        </w:trPr>
        <w:tc>
          <w:tcPr>
            <w:tcW w:w="40" w:type="dxa"/>
            <w:vAlign w:val="bottom"/>
            <w:shd w:val="clear" w:color="auto" w:fill="0063A6"/>
          </w:tcPr>
          <w:p>
            <w:pPr>
              <w:spacing w:after="0"/>
              <w:rPr>
                <w:sz w:val="11"/>
                <w:szCs w:val="11"/>
                <w:color w:val="auto"/>
              </w:rPr>
            </w:pPr>
          </w:p>
        </w:tc>
        <w:tc>
          <w:tcPr>
            <w:tcW w:w="1880" w:type="dxa"/>
            <w:vAlign w:val="bottom"/>
            <w:shd w:val="clear" w:color="auto" w:fill="0063A6"/>
          </w:tcPr>
          <w:p>
            <w:pPr>
              <w:spacing w:after="0"/>
              <w:rPr>
                <w:sz w:val="11"/>
                <w:szCs w:val="11"/>
                <w:color w:val="auto"/>
              </w:rPr>
            </w:pPr>
          </w:p>
        </w:tc>
        <w:tc>
          <w:tcPr>
            <w:tcW w:w="780" w:type="dxa"/>
            <w:vAlign w:val="bottom"/>
            <w:shd w:val="clear" w:color="auto" w:fill="0063A6"/>
          </w:tcPr>
          <w:p>
            <w:pPr>
              <w:spacing w:after="0"/>
              <w:rPr>
                <w:sz w:val="11"/>
                <w:szCs w:val="11"/>
                <w:color w:val="auto"/>
              </w:rPr>
            </w:pPr>
          </w:p>
        </w:tc>
        <w:tc>
          <w:tcPr>
            <w:tcW w:w="300" w:type="dxa"/>
            <w:vAlign w:val="bottom"/>
            <w:shd w:val="clear" w:color="auto" w:fill="0063A6"/>
          </w:tcPr>
          <w:p>
            <w:pPr>
              <w:spacing w:after="0"/>
              <w:rPr>
                <w:sz w:val="11"/>
                <w:szCs w:val="11"/>
                <w:color w:val="auto"/>
              </w:rPr>
            </w:pPr>
          </w:p>
        </w:tc>
        <w:tc>
          <w:tcPr>
            <w:tcW w:w="1140" w:type="dxa"/>
            <w:vAlign w:val="bottom"/>
            <w:shd w:val="clear" w:color="auto" w:fill="0063A6"/>
          </w:tcPr>
          <w:p>
            <w:pPr>
              <w:jc w:val="center"/>
              <w:spacing w:after="0" w:line="135" w:lineRule="exact"/>
              <w:rPr>
                <w:sz w:val="20"/>
                <w:szCs w:val="20"/>
                <w:color w:val="auto"/>
              </w:rPr>
            </w:pPr>
            <w:r>
              <w:rPr>
                <w:rFonts w:ascii="Arial" w:cs="Arial" w:eastAsia="Arial" w:hAnsi="Arial"/>
                <w:sz w:val="14"/>
                <w:szCs w:val="14"/>
                <w:b w:val="1"/>
                <w:bCs w:val="1"/>
                <w:color w:val="FFFFFF"/>
              </w:rPr>
              <w:t>Earned in</w:t>
            </w:r>
          </w:p>
        </w:tc>
        <w:tc>
          <w:tcPr>
            <w:tcW w:w="280" w:type="dxa"/>
            <w:vAlign w:val="bottom"/>
            <w:shd w:val="clear" w:color="auto" w:fill="0063A6"/>
          </w:tcPr>
          <w:p>
            <w:pPr>
              <w:spacing w:after="0"/>
              <w:rPr>
                <w:sz w:val="11"/>
                <w:szCs w:val="11"/>
                <w:color w:val="auto"/>
              </w:rPr>
            </w:pPr>
          </w:p>
        </w:tc>
        <w:tc>
          <w:tcPr>
            <w:tcW w:w="200" w:type="dxa"/>
            <w:vAlign w:val="bottom"/>
            <w:shd w:val="clear" w:color="auto" w:fill="0063A6"/>
          </w:tcPr>
          <w:p>
            <w:pPr>
              <w:spacing w:after="0"/>
              <w:rPr>
                <w:sz w:val="11"/>
                <w:szCs w:val="11"/>
                <w:color w:val="auto"/>
              </w:rPr>
            </w:pPr>
          </w:p>
        </w:tc>
        <w:tc>
          <w:tcPr>
            <w:tcW w:w="1320" w:type="dxa"/>
            <w:vAlign w:val="bottom"/>
            <w:vMerge w:val="continue"/>
            <w:shd w:val="clear" w:color="auto" w:fill="0063A6"/>
          </w:tcPr>
          <w:p>
            <w:pPr>
              <w:spacing w:after="0"/>
              <w:rPr>
                <w:sz w:val="11"/>
                <w:szCs w:val="11"/>
                <w:color w:val="auto"/>
              </w:rPr>
            </w:pPr>
          </w:p>
        </w:tc>
        <w:tc>
          <w:tcPr>
            <w:tcW w:w="180" w:type="dxa"/>
            <w:vAlign w:val="bottom"/>
            <w:shd w:val="clear" w:color="auto" w:fill="0063A6"/>
          </w:tcPr>
          <w:p>
            <w:pPr>
              <w:spacing w:after="0"/>
              <w:rPr>
                <w:sz w:val="11"/>
                <w:szCs w:val="11"/>
                <w:color w:val="auto"/>
              </w:rPr>
            </w:pPr>
          </w:p>
        </w:tc>
        <w:tc>
          <w:tcPr>
            <w:tcW w:w="160" w:type="dxa"/>
            <w:vAlign w:val="bottom"/>
            <w:shd w:val="clear" w:color="auto" w:fill="0063A6"/>
          </w:tcPr>
          <w:p>
            <w:pPr>
              <w:spacing w:after="0"/>
              <w:rPr>
                <w:sz w:val="11"/>
                <w:szCs w:val="11"/>
                <w:color w:val="auto"/>
              </w:rPr>
            </w:pPr>
          </w:p>
        </w:tc>
        <w:tc>
          <w:tcPr>
            <w:tcW w:w="1400" w:type="dxa"/>
            <w:vAlign w:val="bottom"/>
            <w:vMerge w:val="continue"/>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320" w:type="dxa"/>
            <w:vAlign w:val="bottom"/>
            <w:shd w:val="clear" w:color="auto" w:fill="0063A6"/>
          </w:tcPr>
          <w:p>
            <w:pPr>
              <w:spacing w:after="0"/>
              <w:rPr>
                <w:sz w:val="11"/>
                <w:szCs w:val="11"/>
                <w:color w:val="auto"/>
              </w:rPr>
            </w:pPr>
          </w:p>
        </w:tc>
        <w:tc>
          <w:tcPr>
            <w:tcW w:w="1080" w:type="dxa"/>
            <w:vAlign w:val="bottom"/>
            <w:shd w:val="clear" w:color="auto" w:fill="0063A6"/>
          </w:tcPr>
          <w:p>
            <w:pPr>
              <w:spacing w:after="0"/>
              <w:rPr>
                <w:sz w:val="11"/>
                <w:szCs w:val="11"/>
                <w:color w:val="auto"/>
              </w:rPr>
            </w:pPr>
          </w:p>
        </w:tc>
        <w:tc>
          <w:tcPr>
            <w:tcW w:w="34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0063A6"/>
          </w:tcPr>
          <w:p>
            <w:pPr>
              <w:spacing w:after="0"/>
              <w:rPr>
                <w:sz w:val="24"/>
                <w:szCs w:val="24"/>
                <w:color w:val="auto"/>
              </w:rPr>
            </w:pPr>
          </w:p>
        </w:tc>
        <w:tc>
          <w:tcPr>
            <w:tcW w:w="188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p>
        </w:tc>
        <w:tc>
          <w:tcPr>
            <w:tcW w:w="780" w:type="dxa"/>
            <w:vAlign w:val="bottom"/>
            <w:shd w:val="clear" w:color="auto" w:fill="0063A6"/>
          </w:tcPr>
          <w:p>
            <w:pPr>
              <w:spacing w:after="0"/>
              <w:rPr>
                <w:sz w:val="24"/>
                <w:szCs w:val="24"/>
                <w:color w:val="auto"/>
              </w:rPr>
            </w:pPr>
          </w:p>
        </w:tc>
        <w:tc>
          <w:tcPr>
            <w:tcW w:w="300" w:type="dxa"/>
            <w:vAlign w:val="bottom"/>
            <w:shd w:val="clear" w:color="auto" w:fill="0063A6"/>
          </w:tcPr>
          <w:p>
            <w:pPr>
              <w:spacing w:after="0"/>
              <w:rPr>
                <w:sz w:val="24"/>
                <w:szCs w:val="24"/>
                <w:color w:val="auto"/>
              </w:rPr>
            </w:pPr>
          </w:p>
        </w:tc>
        <w:tc>
          <w:tcPr>
            <w:tcW w:w="1140" w:type="dxa"/>
            <w:vAlign w:val="bottom"/>
            <w:shd w:val="clear" w:color="auto" w:fill="0063A6"/>
          </w:tcPr>
          <w:p>
            <w:pPr>
              <w:jc w:val="right"/>
              <w:ind w:right="182"/>
              <w:spacing w:after="0"/>
              <w:rPr>
                <w:sz w:val="20"/>
                <w:szCs w:val="20"/>
                <w:color w:val="auto"/>
              </w:rPr>
            </w:pPr>
            <w:r>
              <w:rPr>
                <w:rFonts w:ascii="Arial" w:cs="Arial" w:eastAsia="Arial" w:hAnsi="Arial"/>
                <w:sz w:val="14"/>
                <w:szCs w:val="14"/>
                <w:b w:val="1"/>
                <w:bCs w:val="1"/>
                <w:color w:val="FFFFFF"/>
              </w:rPr>
              <w:t>Cash ($)</w:t>
            </w:r>
          </w:p>
        </w:tc>
        <w:tc>
          <w:tcPr>
            <w:tcW w:w="280" w:type="dxa"/>
            <w:vAlign w:val="bottom"/>
            <w:shd w:val="clear" w:color="auto" w:fill="0063A6"/>
          </w:tcPr>
          <w:p>
            <w:pPr>
              <w:spacing w:after="0"/>
              <w:rPr>
                <w:sz w:val="24"/>
                <w:szCs w:val="24"/>
                <w:color w:val="auto"/>
              </w:rPr>
            </w:pPr>
          </w:p>
        </w:tc>
        <w:tc>
          <w:tcPr>
            <w:tcW w:w="200" w:type="dxa"/>
            <w:vAlign w:val="bottom"/>
            <w:shd w:val="clear" w:color="auto" w:fill="0063A6"/>
          </w:tcPr>
          <w:p>
            <w:pPr>
              <w:spacing w:after="0"/>
              <w:rPr>
                <w:sz w:val="24"/>
                <w:szCs w:val="24"/>
                <w:color w:val="auto"/>
              </w:rPr>
            </w:pPr>
          </w:p>
        </w:tc>
        <w:tc>
          <w:tcPr>
            <w:tcW w:w="132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Awards ($)</w:t>
            </w:r>
            <w:r>
              <w:rPr>
                <w:rFonts w:ascii="Arial" w:cs="Arial" w:eastAsia="Arial" w:hAnsi="Arial"/>
                <w:sz w:val="23"/>
                <w:szCs w:val="23"/>
                <w:b w:val="1"/>
                <w:bCs w:val="1"/>
                <w:color w:val="FFFFFF"/>
                <w:vertAlign w:val="superscript"/>
              </w:rPr>
              <w:t>(1)(2)</w:t>
            </w:r>
          </w:p>
        </w:tc>
        <w:tc>
          <w:tcPr>
            <w:tcW w:w="18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4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Compensation ($)</w:t>
            </w:r>
          </w:p>
        </w:tc>
        <w:tc>
          <w:tcPr>
            <w:tcW w:w="140" w:type="dxa"/>
            <w:vAlign w:val="bottom"/>
            <w:shd w:val="clear" w:color="auto" w:fill="0063A6"/>
          </w:tcPr>
          <w:p>
            <w:pPr>
              <w:spacing w:after="0"/>
              <w:rPr>
                <w:sz w:val="24"/>
                <w:szCs w:val="24"/>
                <w:color w:val="auto"/>
              </w:rPr>
            </w:pPr>
          </w:p>
        </w:tc>
        <w:tc>
          <w:tcPr>
            <w:tcW w:w="320" w:type="dxa"/>
            <w:vAlign w:val="bottom"/>
            <w:shd w:val="clear" w:color="auto" w:fill="0063A6"/>
          </w:tcPr>
          <w:p>
            <w:pPr>
              <w:spacing w:after="0"/>
              <w:rPr>
                <w:sz w:val="24"/>
                <w:szCs w:val="24"/>
                <w:color w:val="auto"/>
              </w:rPr>
            </w:pPr>
          </w:p>
        </w:tc>
        <w:tc>
          <w:tcPr>
            <w:tcW w:w="1080" w:type="dxa"/>
            <w:vAlign w:val="bottom"/>
            <w:shd w:val="clear" w:color="auto" w:fill="0063A6"/>
          </w:tcPr>
          <w:p>
            <w:pPr>
              <w:ind w:left="280"/>
              <w:spacing w:after="0"/>
              <w:rPr>
                <w:sz w:val="20"/>
                <w:szCs w:val="20"/>
                <w:color w:val="auto"/>
              </w:rPr>
            </w:pPr>
            <w:r>
              <w:rPr>
                <w:rFonts w:ascii="Arial" w:cs="Arial" w:eastAsia="Arial" w:hAnsi="Arial"/>
                <w:sz w:val="14"/>
                <w:szCs w:val="14"/>
                <w:b w:val="1"/>
                <w:bCs w:val="1"/>
                <w:color w:val="FFFFFF"/>
              </w:rPr>
              <w:t>Total ($)</w:t>
            </w:r>
          </w:p>
        </w:tc>
        <w:tc>
          <w:tcPr>
            <w:tcW w:w="34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80" w:type="dxa"/>
            <w:vAlign w:val="bottom"/>
            <w:shd w:val="clear" w:color="auto" w:fill="F2F2F2"/>
          </w:tcPr>
          <w:p>
            <w:pPr>
              <w:ind w:left="40"/>
              <w:spacing w:after="0"/>
              <w:rPr>
                <w:sz w:val="20"/>
                <w:szCs w:val="20"/>
                <w:color w:val="auto"/>
              </w:rPr>
            </w:pPr>
            <w:r>
              <w:rPr>
                <w:rFonts w:ascii="Arial" w:cs="Arial" w:eastAsia="Arial" w:hAnsi="Arial"/>
                <w:sz w:val="16"/>
                <w:szCs w:val="16"/>
                <w:color w:val="auto"/>
              </w:rPr>
              <w:t>Donald W. Blair</w:t>
            </w:r>
          </w:p>
        </w:tc>
        <w:tc>
          <w:tcPr>
            <w:tcW w:w="780" w:type="dxa"/>
            <w:vAlign w:val="bottom"/>
            <w:shd w:val="clear" w:color="auto" w:fill="F2F2F2"/>
          </w:tcPr>
          <w:p>
            <w:pPr>
              <w:ind w:left="72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jc w:val="right"/>
              <w:ind w:right="162"/>
              <w:spacing w:after="0"/>
              <w:rPr>
                <w:sz w:val="20"/>
                <w:szCs w:val="20"/>
                <w:color w:val="auto"/>
              </w:rPr>
            </w:pPr>
            <w:r>
              <w:rPr>
                <w:rFonts w:ascii="Arial" w:cs="Arial" w:eastAsia="Arial" w:hAnsi="Arial"/>
                <w:sz w:val="16"/>
                <w:szCs w:val="16"/>
                <w:color w:val="auto"/>
              </w:rPr>
              <w:t>115,000</w:t>
            </w:r>
          </w:p>
        </w:tc>
        <w:tc>
          <w:tcPr>
            <w:tcW w:w="280" w:type="dxa"/>
            <w:vAlign w:val="bottom"/>
            <w:shd w:val="clear" w:color="auto" w:fill="F2F2F2"/>
          </w:tcPr>
          <w:p>
            <w:pPr>
              <w:ind w:left="2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3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358,604​</w:t>
            </w:r>
          </w:p>
        </w:tc>
        <w:tc>
          <w:tcPr>
            <w:tcW w:w="340" w:type="dxa"/>
            <w:vAlign w:val="bottom"/>
            <w:shd w:val="clear" w:color="auto" w:fill="F2F2F2"/>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14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32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6"/>
                <w:szCs w:val="16"/>
                <w:color w:val="auto"/>
              </w:rPr>
              <w:t>Lisa Campbell</w:t>
            </w:r>
          </w:p>
        </w:tc>
        <w:tc>
          <w:tcPr>
            <w:tcW w:w="780" w:type="dxa"/>
            <w:vAlign w:val="bottom"/>
          </w:tcPr>
          <w:p>
            <w:pPr>
              <w:ind w:left="72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202"/>
              <w:spacing w:after="0"/>
              <w:rPr>
                <w:sz w:val="20"/>
                <w:szCs w:val="20"/>
                <w:color w:val="auto"/>
              </w:rPr>
            </w:pPr>
            <w:r>
              <w:rPr>
                <w:rFonts w:ascii="Arial" w:cs="Arial" w:eastAsia="Arial" w:hAnsi="Arial"/>
                <w:sz w:val="16"/>
                <w:szCs w:val="16"/>
                <w:color w:val="auto"/>
              </w:rPr>
              <w:t>67,500</w:t>
            </w:r>
          </w:p>
        </w:tc>
        <w:tc>
          <w:tcPr>
            <w:tcW w:w="280" w:type="dxa"/>
            <w:vAlign w:val="bottom"/>
          </w:tcPr>
          <w:p>
            <w:pPr>
              <w:ind w:left="22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1320" w:type="dxa"/>
            <w:vAlign w:val="bottom"/>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320" w:type="dxa"/>
            <w:vAlign w:val="bottom"/>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60"/>
              <w:spacing w:after="0"/>
              <w:rPr>
                <w:sz w:val="20"/>
                <w:szCs w:val="20"/>
                <w:color w:val="auto"/>
              </w:rPr>
            </w:pPr>
            <w:r>
              <w:rPr>
                <w:rFonts w:ascii="Arial" w:cs="Arial" w:eastAsia="Arial" w:hAnsi="Arial"/>
                <w:sz w:val="16"/>
                <w:szCs w:val="16"/>
                <w:color w:val="auto"/>
              </w:rPr>
              <w:t>311,104</w:t>
            </w:r>
          </w:p>
        </w:tc>
        <w:tc>
          <w:tcPr>
            <w:tcW w:w="340" w:type="dxa"/>
            <w:vAlign w:val="bottom"/>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80" w:type="dxa"/>
            <w:vAlign w:val="bottom"/>
            <w:shd w:val="clear" w:color="auto" w:fill="F2F2F2"/>
          </w:tcPr>
          <w:p>
            <w:pPr>
              <w:ind w:left="40"/>
              <w:spacing w:after="0"/>
              <w:rPr>
                <w:sz w:val="20"/>
                <w:szCs w:val="20"/>
                <w:color w:val="auto"/>
              </w:rPr>
            </w:pPr>
            <w:r>
              <w:rPr>
                <w:rFonts w:ascii="Arial" w:cs="Arial" w:eastAsia="Arial" w:hAnsi="Arial"/>
                <w:sz w:val="16"/>
                <w:szCs w:val="16"/>
                <w:color w:val="auto"/>
              </w:rPr>
              <w:t>Paul E. Jacobs</w:t>
            </w:r>
          </w:p>
        </w:tc>
        <w:tc>
          <w:tcPr>
            <w:tcW w:w="780" w:type="dxa"/>
            <w:vAlign w:val="bottom"/>
            <w:shd w:val="clear" w:color="auto" w:fill="F2F2F2"/>
          </w:tcPr>
          <w:p>
            <w:pPr>
              <w:ind w:left="72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65,000</w:t>
            </w:r>
          </w:p>
        </w:tc>
        <w:tc>
          <w:tcPr>
            <w:tcW w:w="280" w:type="dxa"/>
            <w:vAlign w:val="bottom"/>
            <w:shd w:val="clear" w:color="auto" w:fill="F2F2F2"/>
          </w:tcPr>
          <w:p>
            <w:pPr>
              <w:ind w:left="2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3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308,604</w:t>
            </w:r>
          </w:p>
        </w:tc>
        <w:tc>
          <w:tcPr>
            <w:tcW w:w="340" w:type="dxa"/>
            <w:vAlign w:val="bottom"/>
            <w:shd w:val="clear" w:color="auto" w:fill="F2F2F2"/>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188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14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32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6"/>
                <w:szCs w:val="16"/>
                <w:color w:val="auto"/>
              </w:rPr>
              <w:t>Sara Mathew</w:t>
            </w:r>
          </w:p>
        </w:tc>
        <w:tc>
          <w:tcPr>
            <w:tcW w:w="780" w:type="dxa"/>
            <w:vAlign w:val="bottom"/>
          </w:tcPr>
          <w:p>
            <w:pPr>
              <w:ind w:left="72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202"/>
              <w:spacing w:after="0"/>
              <w:rPr>
                <w:sz w:val="20"/>
                <w:szCs w:val="20"/>
                <w:color w:val="auto"/>
              </w:rPr>
            </w:pPr>
            <w:r>
              <w:rPr>
                <w:rFonts w:ascii="Arial" w:cs="Arial" w:eastAsia="Arial" w:hAnsi="Arial"/>
                <w:sz w:val="16"/>
                <w:szCs w:val="16"/>
                <w:color w:val="auto"/>
              </w:rPr>
              <w:t>72,500</w:t>
            </w:r>
          </w:p>
        </w:tc>
        <w:tc>
          <w:tcPr>
            <w:tcW w:w="280" w:type="dxa"/>
            <w:vAlign w:val="bottom"/>
          </w:tcPr>
          <w:p>
            <w:pPr>
              <w:ind w:left="22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1320" w:type="dxa"/>
            <w:vAlign w:val="bottom"/>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320" w:type="dxa"/>
            <w:vAlign w:val="bottom"/>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60"/>
              <w:spacing w:after="0"/>
              <w:rPr>
                <w:sz w:val="20"/>
                <w:szCs w:val="20"/>
                <w:color w:val="auto"/>
              </w:rPr>
            </w:pPr>
            <w:r>
              <w:rPr>
                <w:rFonts w:ascii="Arial" w:cs="Arial" w:eastAsia="Arial" w:hAnsi="Arial"/>
                <w:sz w:val="16"/>
                <w:szCs w:val="16"/>
                <w:color w:val="auto"/>
              </w:rPr>
              <w:t>316,104</w:t>
            </w:r>
          </w:p>
        </w:tc>
        <w:tc>
          <w:tcPr>
            <w:tcW w:w="340" w:type="dxa"/>
            <w:vAlign w:val="bottom"/>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80" w:type="dxa"/>
            <w:vAlign w:val="bottom"/>
            <w:shd w:val="clear" w:color="auto" w:fill="F2F2F2"/>
          </w:tcPr>
          <w:p>
            <w:pPr>
              <w:ind w:left="40"/>
              <w:spacing w:after="0"/>
              <w:rPr>
                <w:sz w:val="20"/>
                <w:szCs w:val="20"/>
                <w:color w:val="auto"/>
              </w:rPr>
            </w:pPr>
            <w:r>
              <w:rPr>
                <w:rFonts w:ascii="Arial" w:cs="Arial" w:eastAsia="Arial" w:hAnsi="Arial"/>
                <w:sz w:val="16"/>
                <w:szCs w:val="16"/>
                <w:color w:val="auto"/>
              </w:rPr>
              <w:t>Abhay Parasnis</w:t>
            </w:r>
          </w:p>
        </w:tc>
        <w:tc>
          <w:tcPr>
            <w:tcW w:w="780" w:type="dxa"/>
            <w:vAlign w:val="bottom"/>
            <w:shd w:val="clear" w:color="auto" w:fill="F2F2F2"/>
          </w:tcPr>
          <w:p>
            <w:pPr>
              <w:ind w:left="72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31,167</w:t>
            </w:r>
          </w:p>
        </w:tc>
        <w:tc>
          <w:tcPr>
            <w:tcW w:w="280" w:type="dxa"/>
            <w:vAlign w:val="bottom"/>
            <w:shd w:val="clear" w:color="auto" w:fill="F2F2F2"/>
          </w:tcPr>
          <w:p>
            <w:pPr>
              <w:ind w:left="2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285,209</w:t>
            </w:r>
            <w:r>
              <w:rPr>
                <w:rFonts w:ascii="Arial" w:cs="Arial" w:eastAsia="Arial" w:hAnsi="Arial"/>
                <w:sz w:val="26"/>
                <w:szCs w:val="26"/>
                <w:color w:val="auto"/>
                <w:vertAlign w:val="superscript"/>
              </w:rPr>
              <w:t>(3)</w:t>
            </w:r>
          </w:p>
        </w:tc>
        <w:tc>
          <w:tcPr>
            <w:tcW w:w="18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3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316,376</w:t>
            </w:r>
          </w:p>
        </w:tc>
        <w:tc>
          <w:tcPr>
            <w:tcW w:w="340" w:type="dxa"/>
            <w:vAlign w:val="bottom"/>
            <w:shd w:val="clear" w:color="auto" w:fill="F2F2F2"/>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6"/>
                <w:szCs w:val="16"/>
                <w:color w:val="auto"/>
              </w:rPr>
              <w:t>Karen Peacock</w:t>
            </w:r>
          </w:p>
        </w:tc>
        <w:tc>
          <w:tcPr>
            <w:tcW w:w="780" w:type="dxa"/>
            <w:vAlign w:val="bottom"/>
          </w:tcPr>
          <w:p>
            <w:pPr>
              <w:ind w:left="72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202"/>
              <w:spacing w:after="0"/>
              <w:rPr>
                <w:sz w:val="20"/>
                <w:szCs w:val="20"/>
                <w:color w:val="auto"/>
              </w:rPr>
            </w:pPr>
            <w:r>
              <w:rPr>
                <w:rFonts w:ascii="Arial" w:cs="Arial" w:eastAsia="Arial" w:hAnsi="Arial"/>
                <w:sz w:val="16"/>
                <w:szCs w:val="16"/>
                <w:color w:val="auto"/>
              </w:rPr>
              <w:t>70,000</w:t>
            </w:r>
          </w:p>
        </w:tc>
        <w:tc>
          <w:tcPr>
            <w:tcW w:w="280" w:type="dxa"/>
            <w:vAlign w:val="bottom"/>
          </w:tcPr>
          <w:p>
            <w:pPr>
              <w:ind w:left="22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1320" w:type="dxa"/>
            <w:vAlign w:val="bottom"/>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tcPr>
          <w:p>
            <w:pPr>
              <w:ind w:left="120"/>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320" w:type="dxa"/>
            <w:vAlign w:val="bottom"/>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60"/>
              <w:spacing w:after="0"/>
              <w:rPr>
                <w:sz w:val="20"/>
                <w:szCs w:val="20"/>
                <w:color w:val="auto"/>
              </w:rPr>
            </w:pPr>
            <w:r>
              <w:rPr>
                <w:rFonts w:ascii="Arial" w:cs="Arial" w:eastAsia="Arial" w:hAnsi="Arial"/>
                <w:sz w:val="16"/>
                <w:szCs w:val="16"/>
                <w:color w:val="auto"/>
              </w:rPr>
              <w:t>313,604</w:t>
            </w:r>
          </w:p>
        </w:tc>
        <w:tc>
          <w:tcPr>
            <w:tcW w:w="340" w:type="dxa"/>
            <w:vAlign w:val="bottom"/>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80" w:type="dxa"/>
            <w:vAlign w:val="bottom"/>
            <w:shd w:val="clear" w:color="auto" w:fill="F2F2F2"/>
          </w:tcPr>
          <w:p>
            <w:pPr>
              <w:ind w:left="40"/>
              <w:spacing w:after="0"/>
              <w:rPr>
                <w:sz w:val="20"/>
                <w:szCs w:val="20"/>
                <w:color w:val="auto"/>
              </w:rPr>
            </w:pPr>
            <w:r>
              <w:rPr>
                <w:rFonts w:ascii="Arial" w:cs="Arial" w:eastAsia="Arial" w:hAnsi="Arial"/>
                <w:sz w:val="16"/>
                <w:szCs w:val="16"/>
                <w:color w:val="auto"/>
              </w:rPr>
              <w:t>Michael Seibel</w:t>
            </w:r>
          </w:p>
        </w:tc>
        <w:tc>
          <w:tcPr>
            <w:tcW w:w="780" w:type="dxa"/>
            <w:vAlign w:val="bottom"/>
            <w:shd w:val="clear" w:color="auto" w:fill="F2F2F2"/>
          </w:tcPr>
          <w:p>
            <w:pPr>
              <w:ind w:left="72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F2F2F2"/>
          </w:tcPr>
          <w:p>
            <w:pPr>
              <w:jc w:val="right"/>
              <w:ind w:right="202"/>
              <w:spacing w:after="0"/>
              <w:rPr>
                <w:sz w:val="20"/>
                <w:szCs w:val="20"/>
                <w:color w:val="auto"/>
              </w:rPr>
            </w:pPr>
            <w:r>
              <w:rPr>
                <w:rFonts w:ascii="Arial" w:cs="Arial" w:eastAsia="Arial" w:hAnsi="Arial"/>
                <w:sz w:val="16"/>
                <w:szCs w:val="16"/>
                <w:color w:val="auto"/>
              </w:rPr>
              <w:t>60,000</w:t>
            </w:r>
          </w:p>
        </w:tc>
        <w:tc>
          <w:tcPr>
            <w:tcW w:w="280" w:type="dxa"/>
            <w:vAlign w:val="bottom"/>
            <w:shd w:val="clear" w:color="auto" w:fill="F2F2F2"/>
          </w:tcPr>
          <w:p>
            <w:pPr>
              <w:ind w:left="2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243,604</w:t>
            </w:r>
          </w:p>
        </w:tc>
        <w:tc>
          <w:tcPr>
            <w:tcW w:w="18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3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F2F2F2"/>
          </w:tcPr>
          <w:p>
            <w:pPr>
              <w:ind w:left="260"/>
              <w:spacing w:after="0"/>
              <w:rPr>
                <w:sz w:val="20"/>
                <w:szCs w:val="20"/>
                <w:color w:val="auto"/>
              </w:rPr>
            </w:pPr>
            <w:r>
              <w:rPr>
                <w:rFonts w:ascii="Arial" w:cs="Arial" w:eastAsia="Arial" w:hAnsi="Arial"/>
                <w:sz w:val="16"/>
                <w:szCs w:val="16"/>
                <w:color w:val="auto"/>
              </w:rPr>
              <w:t>303,604</w:t>
            </w:r>
          </w:p>
        </w:tc>
        <w:tc>
          <w:tcPr>
            <w:tcW w:w="340" w:type="dxa"/>
            <w:vAlign w:val="bottom"/>
            <w:shd w:val="clear" w:color="auto" w:fill="F2F2F2"/>
          </w:tcPr>
          <w:p>
            <w:pPr>
              <w:ind w:left="2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shd w:val="clear" w:color="auto" w:fill="F2F2F2"/>
          </w:tcPr>
          <w:p>
            <w:pPr>
              <w:spacing w:after="0"/>
              <w:rPr>
                <w:sz w:val="5"/>
                <w:szCs w:val="5"/>
                <w:color w:val="auto"/>
              </w:rPr>
            </w:pPr>
          </w:p>
        </w:tc>
        <w:tc>
          <w:tcPr>
            <w:tcW w:w="188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1320" w:type="dxa"/>
            <w:vAlign w:val="bottom"/>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40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320" w:type="dxa"/>
            <w:vAlign w:val="bottom"/>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4" w:right="20" w:hanging="244"/>
        <w:spacing w:after="0" w:line="222" w:lineRule="auto"/>
        <w:tabs>
          <w:tab w:leader="none" w:pos="244"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2022 computed in accordance with ASC Topic 718 —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is $19.81, which represents the closing price for a share of our Class A common stock as reported by Nasdaq on May 18, 2022.</w:t>
      </w:r>
    </w:p>
    <w:p>
      <w:pPr>
        <w:spacing w:after="0" w:line="6" w:lineRule="exact"/>
        <w:rPr>
          <w:rFonts w:ascii="Arial" w:cs="Arial" w:eastAsia="Arial" w:hAnsi="Arial"/>
          <w:sz w:val="22"/>
          <w:szCs w:val="22"/>
          <w:color w:val="auto"/>
          <w:vertAlign w:val="superscript"/>
        </w:rPr>
      </w:pPr>
    </w:p>
    <w:p>
      <w:pPr>
        <w:ind w:left="244" w:right="300" w:hanging="244"/>
        <w:spacing w:after="0" w:line="193" w:lineRule="auto"/>
        <w:tabs>
          <w:tab w:leader="none" w:pos="244"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19, 2023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8" w:lineRule="exact"/>
        <w:rPr>
          <w:rFonts w:ascii="Arial" w:cs="Arial" w:eastAsia="Arial" w:hAnsi="Arial"/>
          <w:sz w:val="22"/>
          <w:szCs w:val="22"/>
          <w:color w:val="auto"/>
          <w:vertAlign w:val="superscript"/>
        </w:rPr>
      </w:pPr>
    </w:p>
    <w:p>
      <w:pPr>
        <w:ind w:left="244" w:right="360" w:hanging="244"/>
        <w:spacing w:after="0" w:line="193" w:lineRule="auto"/>
        <w:tabs>
          <w:tab w:leader="none" w:pos="244"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Mr. Parasnis’s Initial Award was granted on March 25, 2022. The grant date fair value of his Initial Award is based on a price of $23.23, which represents the closing price for a share of our Class A common stock as reported by Nasdaq on March 24, 2022.</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6" w:name="page27"/>
    <w:bookmarkEnd w:id="2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20"/>
        <w:spacing w:after="0" w:line="246" w:lineRule="auto"/>
        <w:rPr>
          <w:sz w:val="20"/>
          <w:szCs w:val="20"/>
          <w:color w:val="auto"/>
        </w:rPr>
      </w:pPr>
      <w:r>
        <w:rPr>
          <w:rFonts w:ascii="Arial" w:cs="Arial" w:eastAsia="Arial" w:hAnsi="Arial"/>
          <w:sz w:val="32"/>
          <w:szCs w:val="32"/>
          <w:color w:val="0063A6"/>
        </w:rPr>
        <w:t>BOARD OF DIRECTORS AND CORPORATE GOVERNANCE (continued)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2160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7585" cy="216027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2"/>
                <w:szCs w:val="22"/>
                <w:color w:val="auto"/>
              </w:rPr>
            </w:pPr>
          </w:p>
        </w:tc>
        <w:tc>
          <w:tcPr>
            <w:tcW w:w="2760" w:type="dxa"/>
            <w:vAlign w:val="bottom"/>
            <w:shd w:val="clear" w:color="auto" w:fill="0063A6"/>
          </w:tcPr>
          <w:p>
            <w:pPr>
              <w:spacing w:after="0"/>
              <w:rPr>
                <w:sz w:val="22"/>
                <w:szCs w:val="22"/>
                <w:color w:val="auto"/>
              </w:rPr>
            </w:pPr>
          </w:p>
        </w:tc>
        <w:tc>
          <w:tcPr>
            <w:tcW w:w="1640" w:type="dxa"/>
            <w:vAlign w:val="bottom"/>
            <w:shd w:val="clear" w:color="auto" w:fill="0063A6"/>
          </w:tcPr>
          <w:p>
            <w:pPr>
              <w:spacing w:after="0"/>
              <w:rPr>
                <w:sz w:val="22"/>
                <w:szCs w:val="22"/>
                <w:color w:val="auto"/>
              </w:rPr>
            </w:pPr>
          </w:p>
        </w:tc>
        <w:tc>
          <w:tcPr>
            <w:tcW w:w="500" w:type="dxa"/>
            <w:vAlign w:val="bottom"/>
            <w:shd w:val="clear" w:color="auto" w:fill="0063A6"/>
          </w:tcPr>
          <w:p>
            <w:pPr>
              <w:spacing w:after="0"/>
              <w:rPr>
                <w:sz w:val="22"/>
                <w:szCs w:val="22"/>
                <w:color w:val="auto"/>
              </w:rPr>
            </w:pPr>
          </w:p>
        </w:tc>
        <w:tc>
          <w:tcPr>
            <w:tcW w:w="1580" w:type="dxa"/>
            <w:vAlign w:val="bottom"/>
            <w:vMerge w:val="restart"/>
            <w:shd w:val="clear" w:color="auto" w:fill="0063A6"/>
          </w:tcPr>
          <w:p>
            <w:pPr>
              <w:ind w:left="540"/>
              <w:spacing w:after="0"/>
              <w:rPr>
                <w:sz w:val="20"/>
                <w:szCs w:val="20"/>
                <w:color w:val="auto"/>
              </w:rPr>
            </w:pPr>
            <w:r>
              <w:rPr>
                <w:rFonts w:ascii="Arial" w:cs="Arial" w:eastAsia="Arial" w:hAnsi="Arial"/>
                <w:sz w:val="14"/>
                <w:szCs w:val="14"/>
                <w:b w:val="1"/>
                <w:bCs w:val="1"/>
                <w:color w:val="FFFFFF"/>
              </w:rPr>
              <w:t>Date of</w:t>
            </w:r>
          </w:p>
        </w:tc>
        <w:tc>
          <w:tcPr>
            <w:tcW w:w="460" w:type="dxa"/>
            <w:vAlign w:val="bottom"/>
            <w:shd w:val="clear" w:color="auto" w:fill="0063A6"/>
          </w:tcPr>
          <w:p>
            <w:pPr>
              <w:spacing w:after="0"/>
              <w:rPr>
                <w:sz w:val="22"/>
                <w:szCs w:val="22"/>
                <w:color w:val="auto"/>
              </w:rPr>
            </w:pPr>
          </w:p>
        </w:tc>
        <w:tc>
          <w:tcPr>
            <w:tcW w:w="200" w:type="dxa"/>
            <w:vAlign w:val="bottom"/>
            <w:shd w:val="clear" w:color="auto" w:fill="0063A6"/>
          </w:tcPr>
          <w:p>
            <w:pPr>
              <w:spacing w:after="0"/>
              <w:rPr>
                <w:sz w:val="22"/>
                <w:szCs w:val="22"/>
                <w:color w:val="auto"/>
              </w:rPr>
            </w:pPr>
          </w:p>
        </w:tc>
        <w:tc>
          <w:tcPr>
            <w:tcW w:w="2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22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760" w:type="dxa"/>
            <w:vAlign w:val="bottom"/>
            <w:shd w:val="clear" w:color="auto" w:fill="0063A6"/>
          </w:tcPr>
          <w:p>
            <w:pPr>
              <w:spacing w:after="0"/>
              <w:rPr>
                <w:sz w:val="9"/>
                <w:szCs w:val="9"/>
                <w:color w:val="auto"/>
              </w:rPr>
            </w:pPr>
          </w:p>
        </w:tc>
        <w:tc>
          <w:tcPr>
            <w:tcW w:w="1640" w:type="dxa"/>
            <w:vAlign w:val="bottom"/>
            <w:shd w:val="clear" w:color="auto" w:fill="0063A6"/>
          </w:tcPr>
          <w:p>
            <w:pPr>
              <w:ind w:left="1580"/>
              <w:spacing w:after="0"/>
              <w:rPr>
                <w:sz w:val="20"/>
                <w:szCs w:val="20"/>
                <w:color w:val="auto"/>
              </w:rPr>
            </w:pPr>
            <w:r>
              <w:rPr>
                <w:rFonts w:ascii="Arial" w:cs="Arial" w:eastAsia="Arial" w:hAnsi="Arial"/>
                <w:sz w:val="4"/>
                <w:szCs w:val="4"/>
                <w:color w:val="auto"/>
              </w:rPr>
              <w:t>​</w:t>
            </w:r>
          </w:p>
        </w:tc>
        <w:tc>
          <w:tcPr>
            <w:tcW w:w="5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580" w:type="dxa"/>
            <w:vAlign w:val="bottom"/>
            <w:vMerge w:val="continue"/>
            <w:shd w:val="clear" w:color="auto" w:fill="0063A6"/>
          </w:tcPr>
          <w:p>
            <w:pPr>
              <w:spacing w:after="0"/>
              <w:rPr>
                <w:sz w:val="9"/>
                <w:szCs w:val="9"/>
                <w:color w:val="auto"/>
              </w:rPr>
            </w:pPr>
          </w:p>
        </w:tc>
        <w:tc>
          <w:tcPr>
            <w:tcW w:w="460" w:type="dxa"/>
            <w:vAlign w:val="bottom"/>
            <w:shd w:val="clear" w:color="auto" w:fill="0063A6"/>
          </w:tcPr>
          <w:p>
            <w:pPr>
              <w:ind w:left="40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2160" w:type="dxa"/>
            <w:vAlign w:val="bottom"/>
            <w:vMerge w:val="restart"/>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Underlying</w:t>
            </w:r>
          </w:p>
        </w:tc>
        <w:tc>
          <w:tcPr>
            <w:tcW w:w="22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44"/>
        </w:trPr>
        <w:tc>
          <w:tcPr>
            <w:tcW w:w="40" w:type="dxa"/>
            <w:vAlign w:val="bottom"/>
            <w:shd w:val="clear" w:color="auto" w:fill="0063A6"/>
          </w:tcPr>
          <w:p>
            <w:pPr>
              <w:spacing w:after="0"/>
              <w:rPr>
                <w:sz w:val="3"/>
                <w:szCs w:val="3"/>
                <w:color w:val="auto"/>
              </w:rPr>
            </w:pPr>
          </w:p>
        </w:tc>
        <w:tc>
          <w:tcPr>
            <w:tcW w:w="2760" w:type="dxa"/>
            <w:vAlign w:val="bottom"/>
            <w:shd w:val="clear" w:color="auto" w:fill="0063A6"/>
          </w:tcPr>
          <w:p>
            <w:pPr>
              <w:spacing w:after="0"/>
              <w:rPr>
                <w:sz w:val="3"/>
                <w:szCs w:val="3"/>
                <w:color w:val="auto"/>
              </w:rPr>
            </w:pPr>
          </w:p>
        </w:tc>
        <w:tc>
          <w:tcPr>
            <w:tcW w:w="1640" w:type="dxa"/>
            <w:vAlign w:val="bottom"/>
            <w:shd w:val="clear" w:color="auto" w:fill="0063A6"/>
          </w:tcPr>
          <w:p>
            <w:pPr>
              <w:spacing w:after="0"/>
              <w:rPr>
                <w:sz w:val="3"/>
                <w:szCs w:val="3"/>
                <w:color w:val="auto"/>
              </w:rPr>
            </w:pPr>
          </w:p>
        </w:tc>
        <w:tc>
          <w:tcPr>
            <w:tcW w:w="500" w:type="dxa"/>
            <w:vAlign w:val="bottom"/>
            <w:shd w:val="clear" w:color="auto" w:fill="0063A6"/>
          </w:tcPr>
          <w:p>
            <w:pPr>
              <w:spacing w:after="0"/>
              <w:rPr>
                <w:sz w:val="3"/>
                <w:szCs w:val="3"/>
                <w:color w:val="auto"/>
              </w:rPr>
            </w:pPr>
          </w:p>
        </w:tc>
        <w:tc>
          <w:tcPr>
            <w:tcW w:w="1580" w:type="dxa"/>
            <w:vAlign w:val="bottom"/>
            <w:vMerge w:val="continue"/>
            <w:shd w:val="clear" w:color="auto" w:fill="0063A6"/>
          </w:tcPr>
          <w:p>
            <w:pPr>
              <w:spacing w:after="0"/>
              <w:rPr>
                <w:sz w:val="3"/>
                <w:szCs w:val="3"/>
                <w:color w:val="auto"/>
              </w:rPr>
            </w:pPr>
          </w:p>
        </w:tc>
        <w:tc>
          <w:tcPr>
            <w:tcW w:w="460" w:type="dxa"/>
            <w:vAlign w:val="bottom"/>
            <w:shd w:val="clear" w:color="auto" w:fill="0063A6"/>
          </w:tcPr>
          <w:p>
            <w:pPr>
              <w:spacing w:after="0"/>
              <w:rPr>
                <w:sz w:val="3"/>
                <w:szCs w:val="3"/>
                <w:color w:val="auto"/>
              </w:rPr>
            </w:pPr>
          </w:p>
        </w:tc>
        <w:tc>
          <w:tcPr>
            <w:tcW w:w="200" w:type="dxa"/>
            <w:vAlign w:val="bottom"/>
            <w:shd w:val="clear" w:color="auto" w:fill="0063A6"/>
          </w:tcPr>
          <w:p>
            <w:pPr>
              <w:spacing w:after="0"/>
              <w:rPr>
                <w:sz w:val="3"/>
                <w:szCs w:val="3"/>
                <w:color w:val="auto"/>
              </w:rPr>
            </w:pPr>
          </w:p>
        </w:tc>
        <w:tc>
          <w:tcPr>
            <w:tcW w:w="2160" w:type="dxa"/>
            <w:vAlign w:val="bottom"/>
            <w:vMerge w:val="continue"/>
            <w:shd w:val="clear" w:color="auto" w:fill="0063A6"/>
          </w:tcPr>
          <w:p>
            <w:pPr>
              <w:spacing w:after="0"/>
              <w:rPr>
                <w:sz w:val="3"/>
                <w:szCs w:val="3"/>
                <w:color w:val="auto"/>
              </w:rPr>
            </w:pPr>
          </w:p>
        </w:tc>
        <w:tc>
          <w:tcPr>
            <w:tcW w:w="220" w:type="dxa"/>
            <w:vAlign w:val="bottom"/>
            <w:shd w:val="clear" w:color="auto" w:fill="0063A6"/>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0063A6"/>
          </w:tcPr>
          <w:p>
            <w:pPr>
              <w:spacing w:after="0"/>
              <w:rPr>
                <w:sz w:val="24"/>
                <w:szCs w:val="24"/>
                <w:color w:val="auto"/>
              </w:rPr>
            </w:pPr>
          </w:p>
        </w:tc>
        <w:tc>
          <w:tcPr>
            <w:tcW w:w="276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0063A6"/>
          </w:tcPr>
          <w:p>
            <w:pPr>
              <w:spacing w:after="0"/>
              <w:rPr>
                <w:sz w:val="24"/>
                <w:szCs w:val="24"/>
                <w:color w:val="auto"/>
              </w:rPr>
            </w:pPr>
          </w:p>
        </w:tc>
        <w:tc>
          <w:tcPr>
            <w:tcW w:w="500" w:type="dxa"/>
            <w:vAlign w:val="bottom"/>
            <w:shd w:val="clear" w:color="auto" w:fill="0063A6"/>
          </w:tcPr>
          <w:p>
            <w:pPr>
              <w:spacing w:after="0"/>
              <w:rPr>
                <w:sz w:val="24"/>
                <w:szCs w:val="24"/>
                <w:color w:val="auto"/>
              </w:rPr>
            </w:pP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2"/>
              </w:rPr>
              <w:t>Grant</w:t>
            </w:r>
            <w:r>
              <w:rPr>
                <w:rFonts w:ascii="Arial" w:cs="Arial" w:eastAsia="Arial" w:hAnsi="Arial"/>
                <w:sz w:val="23"/>
                <w:szCs w:val="23"/>
                <w:b w:val="1"/>
                <w:bCs w:val="1"/>
                <w:color w:val="FFFFFF"/>
                <w:w w:val="92"/>
                <w:vertAlign w:val="superscript"/>
              </w:rPr>
              <w:t>(1)</w:t>
            </w:r>
          </w:p>
        </w:tc>
        <w:tc>
          <w:tcPr>
            <w:tcW w:w="460" w:type="dxa"/>
            <w:vAlign w:val="bottom"/>
            <w:shd w:val="clear" w:color="auto" w:fill="0063A6"/>
          </w:tcPr>
          <w:p>
            <w:pPr>
              <w:spacing w:after="0"/>
              <w:rPr>
                <w:sz w:val="24"/>
                <w:szCs w:val="24"/>
                <w:color w:val="auto"/>
              </w:rPr>
            </w:pPr>
          </w:p>
        </w:tc>
        <w:tc>
          <w:tcPr>
            <w:tcW w:w="200" w:type="dxa"/>
            <w:vAlign w:val="bottom"/>
            <w:shd w:val="clear" w:color="auto" w:fill="0063A6"/>
          </w:tcPr>
          <w:p>
            <w:pPr>
              <w:spacing w:after="0"/>
              <w:rPr>
                <w:sz w:val="24"/>
                <w:szCs w:val="24"/>
                <w:color w:val="auto"/>
              </w:rPr>
            </w:pPr>
          </w:p>
        </w:tc>
        <w:tc>
          <w:tcPr>
            <w:tcW w:w="2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Unvested Stock Awards (#)</w:t>
            </w:r>
          </w:p>
        </w:tc>
        <w:tc>
          <w:tcPr>
            <w:tcW w:w="2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760" w:type="dxa"/>
            <w:vAlign w:val="bottom"/>
            <w:shd w:val="clear" w:color="auto" w:fill="F2F2F2"/>
          </w:tcPr>
          <w:p>
            <w:pPr>
              <w:ind w:left="40"/>
              <w:spacing w:after="0"/>
              <w:rPr>
                <w:sz w:val="20"/>
                <w:szCs w:val="20"/>
                <w:color w:val="auto"/>
              </w:rPr>
            </w:pPr>
            <w:r>
              <w:rPr>
                <w:rFonts w:ascii="Arial" w:cs="Arial" w:eastAsia="Arial" w:hAnsi="Arial"/>
                <w:sz w:val="16"/>
                <w:szCs w:val="16"/>
                <w:color w:val="auto"/>
              </w:rPr>
              <w:t>Donald W. Blair</w:t>
            </w:r>
          </w:p>
        </w:tc>
        <w:tc>
          <w:tcPr>
            <w:tcW w:w="1640" w:type="dxa"/>
            <w:vAlign w:val="bottom"/>
            <w:shd w:val="clear" w:color="auto" w:fill="F2F2F2"/>
          </w:tcPr>
          <w:p>
            <w:pPr>
              <w:ind w:left="158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160" w:type="dxa"/>
            <w:vAlign w:val="bottom"/>
            <w:shd w:val="clear" w:color="auto" w:fill="F2F2F2"/>
          </w:tcPr>
          <w:p>
            <w:pPr>
              <w:ind w:left="860"/>
              <w:spacing w:after="0"/>
              <w:rPr>
                <w:sz w:val="20"/>
                <w:szCs w:val="20"/>
                <w:color w:val="auto"/>
              </w:rPr>
            </w:pPr>
            <w:r>
              <w:rPr>
                <w:rFonts w:ascii="Arial" w:cs="Arial" w:eastAsia="Arial" w:hAnsi="Arial"/>
                <w:sz w:val="16"/>
                <w:szCs w:val="16"/>
                <w:color w:val="auto"/>
              </w:rPr>
              <w:t>12,297</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276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Lisa Campbell</w:t>
            </w:r>
          </w:p>
        </w:tc>
        <w:tc>
          <w:tcPr>
            <w:tcW w:w="1640" w:type="dxa"/>
            <w:vAlign w:val="bottom"/>
          </w:tcPr>
          <w:p>
            <w:pPr>
              <w:ind w:left="1580"/>
              <w:spacing w:after="0"/>
              <w:rPr>
                <w:sz w:val="20"/>
                <w:szCs w:val="20"/>
                <w:color w:val="auto"/>
              </w:rPr>
            </w:pPr>
            <w:r>
              <w:rPr>
                <w:rFonts w:ascii="Arial" w:cs="Arial" w:eastAsia="Arial" w:hAnsi="Arial"/>
                <w:sz w:val="4"/>
                <w:szCs w:val="4"/>
                <w:color w:val="auto"/>
              </w:rPr>
              <w:t>​</w:t>
            </w:r>
          </w:p>
        </w:tc>
        <w:tc>
          <w:tcPr>
            <w:tcW w:w="500" w:type="dxa"/>
            <w:vAlign w:val="bottom"/>
          </w:tcPr>
          <w:p>
            <w:pPr>
              <w:ind w:left="40"/>
              <w:spacing w:after="0"/>
              <w:rPr>
                <w:sz w:val="20"/>
                <w:szCs w:val="20"/>
                <w:color w:val="auto"/>
              </w:rPr>
            </w:pPr>
            <w:r>
              <w:rPr>
                <w:rFonts w:ascii="Arial" w:cs="Arial" w:eastAsia="Arial" w:hAnsi="Arial"/>
                <w:sz w:val="4"/>
                <w:szCs w:val="4"/>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tcPr>
          <w:p>
            <w:pPr>
              <w:ind w:left="40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2160" w:type="dxa"/>
            <w:vAlign w:val="bottom"/>
          </w:tcPr>
          <w:p>
            <w:pPr>
              <w:ind w:left="860"/>
              <w:spacing w:after="0"/>
              <w:rPr>
                <w:sz w:val="20"/>
                <w:szCs w:val="20"/>
                <w:color w:val="auto"/>
              </w:rPr>
            </w:pPr>
            <w:r>
              <w:rPr>
                <w:rFonts w:ascii="Arial" w:cs="Arial" w:eastAsia="Arial" w:hAnsi="Arial"/>
                <w:sz w:val="16"/>
                <w:szCs w:val="16"/>
                <w:color w:val="auto"/>
              </w:rPr>
              <w:t>12,297</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760" w:type="dxa"/>
            <w:vAlign w:val="bottom"/>
            <w:shd w:val="clear" w:color="auto" w:fill="F2F2F2"/>
          </w:tcPr>
          <w:p>
            <w:pPr>
              <w:ind w:left="40"/>
              <w:spacing w:after="0"/>
              <w:rPr>
                <w:sz w:val="20"/>
                <w:szCs w:val="20"/>
                <w:color w:val="auto"/>
              </w:rPr>
            </w:pPr>
            <w:r>
              <w:rPr>
                <w:rFonts w:ascii="Arial" w:cs="Arial" w:eastAsia="Arial" w:hAnsi="Arial"/>
                <w:sz w:val="16"/>
                <w:szCs w:val="16"/>
                <w:color w:val="auto"/>
              </w:rPr>
              <w:t>Paul E. Jacobs</w:t>
            </w:r>
          </w:p>
        </w:tc>
        <w:tc>
          <w:tcPr>
            <w:tcW w:w="1640" w:type="dxa"/>
            <w:vAlign w:val="bottom"/>
            <w:shd w:val="clear" w:color="auto" w:fill="F2F2F2"/>
          </w:tcPr>
          <w:p>
            <w:pPr>
              <w:ind w:left="158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160" w:type="dxa"/>
            <w:vAlign w:val="bottom"/>
            <w:shd w:val="clear" w:color="auto" w:fill="F2F2F2"/>
          </w:tcPr>
          <w:p>
            <w:pPr>
              <w:ind w:left="860"/>
              <w:spacing w:after="0"/>
              <w:rPr>
                <w:sz w:val="20"/>
                <w:szCs w:val="20"/>
                <w:color w:val="auto"/>
              </w:rPr>
            </w:pPr>
            <w:r>
              <w:rPr>
                <w:rFonts w:ascii="Arial" w:cs="Arial" w:eastAsia="Arial" w:hAnsi="Arial"/>
                <w:sz w:val="16"/>
                <w:szCs w:val="16"/>
                <w:color w:val="auto"/>
              </w:rPr>
              <w:t>12,297</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276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Sara Mathew</w:t>
            </w:r>
          </w:p>
        </w:tc>
        <w:tc>
          <w:tcPr>
            <w:tcW w:w="1640" w:type="dxa"/>
            <w:vAlign w:val="bottom"/>
          </w:tcPr>
          <w:p>
            <w:pPr>
              <w:ind w:left="1580"/>
              <w:spacing w:after="0"/>
              <w:rPr>
                <w:sz w:val="20"/>
                <w:szCs w:val="20"/>
                <w:color w:val="auto"/>
              </w:rPr>
            </w:pPr>
            <w:r>
              <w:rPr>
                <w:rFonts w:ascii="Arial" w:cs="Arial" w:eastAsia="Arial" w:hAnsi="Arial"/>
                <w:sz w:val="4"/>
                <w:szCs w:val="4"/>
                <w:color w:val="auto"/>
              </w:rPr>
              <w:t>​</w:t>
            </w:r>
          </w:p>
        </w:tc>
        <w:tc>
          <w:tcPr>
            <w:tcW w:w="500" w:type="dxa"/>
            <w:vAlign w:val="bottom"/>
          </w:tcPr>
          <w:p>
            <w:pPr>
              <w:ind w:left="40"/>
              <w:spacing w:after="0"/>
              <w:rPr>
                <w:sz w:val="20"/>
                <w:szCs w:val="20"/>
                <w:color w:val="auto"/>
              </w:rPr>
            </w:pPr>
            <w:r>
              <w:rPr>
                <w:rFonts w:ascii="Arial" w:cs="Arial" w:eastAsia="Arial" w:hAnsi="Arial"/>
                <w:sz w:val="4"/>
                <w:szCs w:val="4"/>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tcPr>
          <w:p>
            <w:pPr>
              <w:ind w:left="40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2160" w:type="dxa"/>
            <w:vAlign w:val="bottom"/>
          </w:tcPr>
          <w:p>
            <w:pPr>
              <w:ind w:left="860"/>
              <w:spacing w:after="0"/>
              <w:rPr>
                <w:sz w:val="20"/>
                <w:szCs w:val="20"/>
                <w:color w:val="auto"/>
              </w:rPr>
            </w:pPr>
            <w:r>
              <w:rPr>
                <w:rFonts w:ascii="Arial" w:cs="Arial" w:eastAsia="Arial" w:hAnsi="Arial"/>
                <w:sz w:val="16"/>
                <w:szCs w:val="16"/>
                <w:color w:val="auto"/>
              </w:rPr>
              <w:t>18,877</w:t>
            </w:r>
            <w:r>
              <w:rPr>
                <w:rFonts w:ascii="Arial" w:cs="Arial" w:eastAsia="Arial" w:hAnsi="Arial"/>
                <w:sz w:val="26"/>
                <w:szCs w:val="26"/>
                <w:color w:val="auto"/>
                <w:vertAlign w:val="superscript"/>
              </w:rPr>
              <w:t>(2)</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760" w:type="dxa"/>
            <w:vAlign w:val="bottom"/>
            <w:shd w:val="clear" w:color="auto" w:fill="F2F2F2"/>
          </w:tcPr>
          <w:p>
            <w:pPr>
              <w:ind w:left="40"/>
              <w:spacing w:after="0"/>
              <w:rPr>
                <w:sz w:val="20"/>
                <w:szCs w:val="20"/>
                <w:color w:val="auto"/>
              </w:rPr>
            </w:pPr>
            <w:r>
              <w:rPr>
                <w:rFonts w:ascii="Arial" w:cs="Arial" w:eastAsia="Arial" w:hAnsi="Arial"/>
                <w:sz w:val="16"/>
                <w:szCs w:val="16"/>
                <w:color w:val="auto"/>
              </w:rPr>
              <w:t>Abhay Parasnis</w:t>
            </w:r>
          </w:p>
        </w:tc>
        <w:tc>
          <w:tcPr>
            <w:tcW w:w="1640" w:type="dxa"/>
            <w:vAlign w:val="bottom"/>
            <w:shd w:val="clear" w:color="auto" w:fill="F2F2F2"/>
          </w:tcPr>
          <w:p>
            <w:pPr>
              <w:ind w:left="158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160" w:type="dxa"/>
            <w:vAlign w:val="bottom"/>
            <w:shd w:val="clear" w:color="auto" w:fill="F2F2F2"/>
          </w:tcPr>
          <w:p>
            <w:pPr>
              <w:ind w:left="860"/>
              <w:spacing w:after="0"/>
              <w:rPr>
                <w:sz w:val="20"/>
                <w:szCs w:val="20"/>
                <w:color w:val="auto"/>
              </w:rPr>
            </w:pPr>
            <w:r>
              <w:rPr>
                <w:rFonts w:ascii="Arial" w:cs="Arial" w:eastAsia="Arial" w:hAnsi="Arial"/>
                <w:sz w:val="16"/>
                <w:szCs w:val="16"/>
                <w:color w:val="auto"/>
              </w:rPr>
              <w:t>12,297</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276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216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Karen Peacock</w:t>
            </w:r>
          </w:p>
        </w:tc>
        <w:tc>
          <w:tcPr>
            <w:tcW w:w="1640" w:type="dxa"/>
            <w:vAlign w:val="bottom"/>
          </w:tcPr>
          <w:p>
            <w:pPr>
              <w:ind w:left="1580"/>
              <w:spacing w:after="0"/>
              <w:rPr>
                <w:sz w:val="20"/>
                <w:szCs w:val="20"/>
                <w:color w:val="auto"/>
              </w:rPr>
            </w:pPr>
            <w:r>
              <w:rPr>
                <w:rFonts w:ascii="Arial" w:cs="Arial" w:eastAsia="Arial" w:hAnsi="Arial"/>
                <w:sz w:val="4"/>
                <w:szCs w:val="4"/>
                <w:color w:val="auto"/>
              </w:rPr>
              <w:t>​</w:t>
            </w:r>
          </w:p>
        </w:tc>
        <w:tc>
          <w:tcPr>
            <w:tcW w:w="500" w:type="dxa"/>
            <w:vAlign w:val="bottom"/>
          </w:tcPr>
          <w:p>
            <w:pPr>
              <w:ind w:left="40"/>
              <w:spacing w:after="0"/>
              <w:rPr>
                <w:sz w:val="20"/>
                <w:szCs w:val="20"/>
                <w:color w:val="auto"/>
              </w:rPr>
            </w:pPr>
            <w:r>
              <w:rPr>
                <w:rFonts w:ascii="Arial" w:cs="Arial" w:eastAsia="Arial" w:hAnsi="Arial"/>
                <w:sz w:val="4"/>
                <w:szCs w:val="4"/>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tcPr>
          <w:p>
            <w:pPr>
              <w:ind w:left="40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2160" w:type="dxa"/>
            <w:vAlign w:val="bottom"/>
          </w:tcPr>
          <w:p>
            <w:pPr>
              <w:ind w:left="860"/>
              <w:spacing w:after="0"/>
              <w:rPr>
                <w:sz w:val="20"/>
                <w:szCs w:val="20"/>
                <w:color w:val="auto"/>
              </w:rPr>
            </w:pPr>
            <w:r>
              <w:rPr>
                <w:rFonts w:ascii="Arial" w:cs="Arial" w:eastAsia="Arial" w:hAnsi="Arial"/>
                <w:sz w:val="16"/>
                <w:szCs w:val="16"/>
                <w:color w:val="auto"/>
              </w:rPr>
              <w:t>12,297</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760" w:type="dxa"/>
            <w:vAlign w:val="bottom"/>
            <w:shd w:val="clear" w:color="auto" w:fill="F2F2F2"/>
          </w:tcPr>
          <w:p>
            <w:pPr>
              <w:ind w:left="40"/>
              <w:spacing w:after="0"/>
              <w:rPr>
                <w:sz w:val="20"/>
                <w:szCs w:val="20"/>
                <w:color w:val="auto"/>
              </w:rPr>
            </w:pPr>
            <w:r>
              <w:rPr>
                <w:rFonts w:ascii="Arial" w:cs="Arial" w:eastAsia="Arial" w:hAnsi="Arial"/>
                <w:sz w:val="16"/>
                <w:szCs w:val="16"/>
                <w:color w:val="auto"/>
              </w:rPr>
              <w:t>Michael Seibel</w:t>
            </w:r>
          </w:p>
        </w:tc>
        <w:tc>
          <w:tcPr>
            <w:tcW w:w="1640" w:type="dxa"/>
            <w:vAlign w:val="bottom"/>
            <w:shd w:val="clear" w:color="auto" w:fill="F2F2F2"/>
          </w:tcPr>
          <w:p>
            <w:pPr>
              <w:ind w:left="158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5/19/2022</w:t>
            </w:r>
          </w:p>
        </w:tc>
        <w:tc>
          <w:tcPr>
            <w:tcW w:w="46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160" w:type="dxa"/>
            <w:vAlign w:val="bottom"/>
            <w:shd w:val="clear" w:color="auto" w:fill="F2F2F2"/>
          </w:tcPr>
          <w:p>
            <w:pPr>
              <w:ind w:left="860"/>
              <w:spacing w:after="0"/>
              <w:rPr>
                <w:sz w:val="20"/>
                <w:szCs w:val="20"/>
                <w:color w:val="auto"/>
              </w:rPr>
            </w:pPr>
            <w:r>
              <w:rPr>
                <w:rFonts w:ascii="Arial" w:cs="Arial" w:eastAsia="Arial" w:hAnsi="Arial"/>
                <w:sz w:val="16"/>
                <w:szCs w:val="16"/>
                <w:color w:val="auto"/>
              </w:rPr>
              <w:t>26,264</w:t>
            </w:r>
            <w:r>
              <w:rPr>
                <w:rFonts w:ascii="Arial" w:cs="Arial" w:eastAsia="Arial" w:hAnsi="Arial"/>
                <w:sz w:val="26"/>
                <w:szCs w:val="26"/>
                <w:color w:val="auto"/>
                <w:vertAlign w:val="superscript"/>
              </w:rPr>
              <w:t>(3)</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4" w:right="320" w:hanging="244"/>
        <w:spacing w:after="0" w:line="193" w:lineRule="auto"/>
        <w:tabs>
          <w:tab w:leader="none" w:pos="244"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19, 2023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4" w:lineRule="exact"/>
        <w:rPr>
          <w:rFonts w:ascii="Arial" w:cs="Arial" w:eastAsia="Arial" w:hAnsi="Arial"/>
          <w:sz w:val="22"/>
          <w:szCs w:val="22"/>
          <w:color w:val="auto"/>
          <w:vertAlign w:val="superscript"/>
        </w:rPr>
      </w:pPr>
    </w:p>
    <w:p>
      <w:pPr>
        <w:jc w:val="both"/>
        <w:ind w:left="244" w:right="160" w:hanging="244"/>
        <w:spacing w:after="0"/>
        <w:tabs>
          <w:tab w:leader="none" w:pos="244"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Includes 6,580 vested Restricted Stock Units granted on July 28th 2021 that were deferred at time of grant. These vested Restricted Stock Units will be settled upon the earlier of (a) immediately prior to a Change in Control or (b) within 60 days of Ms. Mathew's separation from the Board or death.</w:t>
      </w:r>
    </w:p>
    <w:p>
      <w:pPr>
        <w:spacing w:after="0" w:line="82" w:lineRule="exact"/>
        <w:rPr>
          <w:rFonts w:ascii="Arial" w:cs="Arial" w:eastAsia="Arial" w:hAnsi="Arial"/>
          <w:sz w:val="22"/>
          <w:szCs w:val="22"/>
          <w:color w:val="auto"/>
          <w:vertAlign w:val="superscript"/>
        </w:rPr>
      </w:pPr>
    </w:p>
    <w:p>
      <w:pPr>
        <w:ind w:left="244" w:right="40" w:hanging="244"/>
        <w:spacing w:after="0" w:line="208" w:lineRule="auto"/>
        <w:tabs>
          <w:tab w:leader="none" w:pos="244"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Includes 4,632 vested Restricted Stock Units granted on December 11</w:t>
      </w:r>
      <w:r>
        <w:rPr>
          <w:rFonts w:ascii="Arial" w:cs="Arial" w:eastAsia="Arial" w:hAnsi="Arial"/>
          <w:sz w:val="21"/>
          <w:szCs w:val="21"/>
          <w:color w:val="auto"/>
          <w:vertAlign w:val="superscript"/>
        </w:rPr>
        <w:t>th</w:t>
      </w:r>
      <w:r>
        <w:rPr>
          <w:rFonts w:ascii="Arial" w:cs="Arial" w:eastAsia="Arial" w:hAnsi="Arial"/>
          <w:sz w:val="14"/>
          <w:szCs w:val="14"/>
          <w:color w:val="auto"/>
        </w:rPr>
        <w:t>, 2020 and 9,335 vested Restricted Stock Units granted on May 20</w:t>
      </w:r>
      <w:r>
        <w:rPr>
          <w:rFonts w:ascii="Arial" w:cs="Arial" w:eastAsia="Arial" w:hAnsi="Arial"/>
          <w:sz w:val="21"/>
          <w:szCs w:val="21"/>
          <w:color w:val="auto"/>
          <w:vertAlign w:val="superscript"/>
        </w:rPr>
        <w:t>th</w:t>
      </w:r>
      <w:r>
        <w:rPr>
          <w:rFonts w:ascii="Arial" w:cs="Arial" w:eastAsia="Arial" w:hAnsi="Arial"/>
          <w:sz w:val="14"/>
          <w:szCs w:val="14"/>
          <w:color w:val="auto"/>
        </w:rPr>
        <w:t>, 2021 that were deferred at time of grant. These vested Restricted Stock Units will be settled upon the earlier of (a) immediately prior to a Change in Control or (b) within 60 days of Mr. Seibel’s separation from the Board or death.</w:t>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PROPOSAL NO. 1—ELECTION OF DIRECTORS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of March 23, 2023, our board of directors consisted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Nominees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 has recommended, and our board of directors has approved, Andrew</w:t>
      </w:r>
    </w:p>
    <w:p>
      <w:pPr>
        <w:spacing w:after="0" w:line="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 Houston, Donald W. Blair, Lisa Campbell, Paul E. Jacobs, Sara Mathew, Abhay Parasnis, Karen Peacock and Michael Seibel as nominees for election as directors at the Annual Meeting. Each of the nominees is an incumbent director. If elected, each of the nominees will serve as directors until the 2024 annual meeting of stockholders and until their successors are duly elected and qualified.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We expect that each of Dr. Jacobs, Messrs. Houston, Blair, Parasnis and Seibel, and Mss. Campbell, Mathew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 Jacobs, Messrs. Houston, Blair, Parasnis and Seibel, and Mss. Campbell, Mathew and Peacock. If you are a street name stockholder and you do not give voting instructions to your broker or nominee, your broker will leave your shares unvoted on this matter.</w:t>
      </w:r>
    </w:p>
    <w:p>
      <w:pPr>
        <w:spacing w:after="0" w:line="369"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28" w:name="page29"/>
    <w:bookmarkEnd w:id="28"/>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660"/>
        <w:spacing w:after="0" w:line="260"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119"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2023. Ernst &amp; Young LLP has served as our independent registered public accounting firm since 2013.</w:t>
      </w:r>
    </w:p>
    <w:p>
      <w:pPr>
        <w:spacing w:after="0" w:line="147"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2023.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169"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077585" cy="1525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7585" cy="1525905"/>
                    </a:xfrm>
                    <a:prstGeom prst="rect">
                      <a:avLst/>
                    </a:prstGeom>
                    <a:noFill/>
                  </pic:spPr>
                </pic:pic>
              </a:graphicData>
            </a:graphic>
          </wp:anchor>
        </w:drawing>
      </w:r>
    </w:p>
    <w:p>
      <w:pPr>
        <w:spacing w:after="0" w:line="38" w:lineRule="exact"/>
        <w:rPr>
          <w:sz w:val="20"/>
          <w:szCs w:val="20"/>
          <w:color w:val="auto"/>
        </w:rPr>
      </w:pPr>
    </w:p>
    <w:tbl>
      <w:tblPr>
        <w:tblLayout w:type="fixed"/>
        <w:tblInd w:w="4" w:type="dxa"/>
        <w:tblCellMar>
          <w:top w:w="0" w:type="dxa"/>
          <w:left w:w="0" w:type="dxa"/>
          <w:bottom w:w="0" w:type="dxa"/>
          <w:right w:w="0" w:type="dxa"/>
        </w:tblCellMar>
      </w:tblPr>
      <w:tr>
        <w:trPr>
          <w:trHeight w:val="199"/>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820" w:type="dxa"/>
            <w:vAlign w:val="bottom"/>
            <w:shd w:val="clear" w:color="auto" w:fill="0063A6"/>
          </w:tcPr>
          <w:p>
            <w:pPr>
              <w:spacing w:after="0"/>
              <w:rPr>
                <w:sz w:val="17"/>
                <w:szCs w:val="17"/>
                <w:color w:val="auto"/>
              </w:rPr>
            </w:pPr>
          </w:p>
        </w:tc>
        <w:tc>
          <w:tcPr>
            <w:tcW w:w="2300" w:type="dxa"/>
            <w:vAlign w:val="bottom"/>
            <w:shd w:val="clear" w:color="auto" w:fill="0063A6"/>
          </w:tcPr>
          <w:p>
            <w:pPr>
              <w:ind w:left="22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spacing w:after="0"/>
              <w:rPr>
                <w:sz w:val="17"/>
                <w:szCs w:val="17"/>
                <w:color w:val="auto"/>
              </w:rPr>
            </w:pPr>
          </w:p>
        </w:tc>
        <w:tc>
          <w:tcPr>
            <w:tcW w:w="1280" w:type="dxa"/>
            <w:vAlign w:val="bottom"/>
            <w:vMerge w:val="restart"/>
            <w:shd w:val="clear" w:color="auto" w:fill="0063A6"/>
          </w:tcPr>
          <w:p>
            <w:pPr>
              <w:jc w:val="right"/>
              <w:ind w:right="501"/>
              <w:spacing w:after="0"/>
              <w:rPr>
                <w:sz w:val="20"/>
                <w:szCs w:val="20"/>
                <w:color w:val="auto"/>
              </w:rPr>
            </w:pPr>
            <w:r>
              <w:rPr>
                <w:rFonts w:ascii="Arial" w:cs="Arial" w:eastAsia="Arial" w:hAnsi="Arial"/>
                <w:sz w:val="14"/>
                <w:szCs w:val="14"/>
                <w:b w:val="1"/>
                <w:bCs w:val="1"/>
                <w:color w:val="FFFFFF"/>
              </w:rPr>
              <w:t>2022</w:t>
            </w:r>
          </w:p>
        </w:tc>
        <w:tc>
          <w:tcPr>
            <w:tcW w:w="60" w:type="dxa"/>
            <w:vAlign w:val="bottom"/>
            <w:shd w:val="clear" w:color="auto" w:fill="0063A6"/>
          </w:tcPr>
          <w:p>
            <w:pPr>
              <w:jc w:val="right"/>
              <w:ind w:right="31"/>
              <w:spacing w:after="0"/>
              <w:rPr>
                <w:sz w:val="20"/>
                <w:szCs w:val="20"/>
                <w:color w:val="auto"/>
              </w:rPr>
            </w:pPr>
            <w:r>
              <w:rPr>
                <w:rFonts w:ascii="Arial" w:cs="Arial" w:eastAsia="Arial" w:hAnsi="Arial"/>
                <w:sz w:val="2"/>
                <w:szCs w:val="2"/>
                <w:color w:val="auto"/>
                <w:w w:val="4294942296"/>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spacing w:after="0"/>
              <w:rPr>
                <w:sz w:val="17"/>
                <w:szCs w:val="17"/>
                <w:color w:val="auto"/>
              </w:rPr>
            </w:pPr>
          </w:p>
        </w:tc>
        <w:tc>
          <w:tcPr>
            <w:tcW w:w="1280" w:type="dxa"/>
            <w:vAlign w:val="bottom"/>
            <w:vMerge w:val="restart"/>
            <w:shd w:val="clear" w:color="auto" w:fill="0063A6"/>
          </w:tcPr>
          <w:p>
            <w:pPr>
              <w:jc w:val="right"/>
              <w:ind w:right="521"/>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3A6"/>
          </w:tcPr>
          <w:p>
            <w:pPr>
              <w:jc w:val="right"/>
              <w:ind w:right="7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86"/>
        </w:trPr>
        <w:tc>
          <w:tcPr>
            <w:tcW w:w="40" w:type="dxa"/>
            <w:vAlign w:val="bottom"/>
            <w:shd w:val="clear" w:color="auto" w:fill="0063A6"/>
          </w:tcPr>
          <w:p>
            <w:pPr>
              <w:spacing w:after="0"/>
              <w:rPr>
                <w:sz w:val="7"/>
                <w:szCs w:val="7"/>
                <w:color w:val="auto"/>
              </w:rPr>
            </w:pPr>
          </w:p>
        </w:tc>
        <w:tc>
          <w:tcPr>
            <w:tcW w:w="3820" w:type="dxa"/>
            <w:vAlign w:val="bottom"/>
            <w:shd w:val="clear" w:color="auto" w:fill="0063A6"/>
          </w:tcPr>
          <w:p>
            <w:pPr>
              <w:spacing w:after="0"/>
              <w:rPr>
                <w:sz w:val="7"/>
                <w:szCs w:val="7"/>
                <w:color w:val="auto"/>
              </w:rPr>
            </w:pPr>
          </w:p>
        </w:tc>
        <w:tc>
          <w:tcPr>
            <w:tcW w:w="230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240" w:type="dxa"/>
            <w:vAlign w:val="bottom"/>
            <w:shd w:val="clear" w:color="auto" w:fill="0063A6"/>
          </w:tcPr>
          <w:p>
            <w:pPr>
              <w:spacing w:after="0"/>
              <w:rPr>
                <w:sz w:val="7"/>
                <w:szCs w:val="7"/>
                <w:color w:val="auto"/>
              </w:rPr>
            </w:pPr>
          </w:p>
        </w:tc>
        <w:tc>
          <w:tcPr>
            <w:tcW w:w="1280" w:type="dxa"/>
            <w:vAlign w:val="bottom"/>
            <w:vMerge w:val="continue"/>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240" w:type="dxa"/>
            <w:vAlign w:val="bottom"/>
            <w:shd w:val="clear" w:color="auto" w:fill="0063A6"/>
          </w:tcPr>
          <w:p>
            <w:pPr>
              <w:spacing w:after="0"/>
              <w:rPr>
                <w:sz w:val="7"/>
                <w:szCs w:val="7"/>
                <w:color w:val="auto"/>
              </w:rPr>
            </w:pPr>
          </w:p>
        </w:tc>
        <w:tc>
          <w:tcPr>
            <w:tcW w:w="1280" w:type="dxa"/>
            <w:vAlign w:val="bottom"/>
            <w:vMerge w:val="continue"/>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0063A6"/>
          </w:tcPr>
          <w:p>
            <w:pPr>
              <w:spacing w:after="0"/>
              <w:rPr>
                <w:sz w:val="6"/>
                <w:szCs w:val="6"/>
                <w:color w:val="auto"/>
              </w:rPr>
            </w:pPr>
          </w:p>
        </w:tc>
        <w:tc>
          <w:tcPr>
            <w:tcW w:w="3820" w:type="dxa"/>
            <w:vAlign w:val="bottom"/>
            <w:shd w:val="clear" w:color="auto" w:fill="0063A6"/>
          </w:tcPr>
          <w:p>
            <w:pPr>
              <w:spacing w:after="0"/>
              <w:rPr>
                <w:sz w:val="6"/>
                <w:szCs w:val="6"/>
                <w:color w:val="auto"/>
              </w:rPr>
            </w:pPr>
          </w:p>
        </w:tc>
        <w:tc>
          <w:tcPr>
            <w:tcW w:w="230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1340" w:type="dxa"/>
            <w:vAlign w:val="bottom"/>
            <w:gridSpan w:val="2"/>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1380" w:type="dxa"/>
            <w:vAlign w:val="bottom"/>
            <w:gridSpan w:val="2"/>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820" w:type="dxa"/>
            <w:vAlign w:val="bottom"/>
            <w:shd w:val="clear" w:color="auto" w:fill="F2F2F2"/>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300" w:type="dxa"/>
            <w:vAlign w:val="bottom"/>
            <w:shd w:val="clear" w:color="auto" w:fill="F2F2F2"/>
          </w:tcPr>
          <w:p>
            <w:pPr>
              <w:ind w:left="22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 xml:space="preserve">$ </w:t>
            </w:r>
          </w:p>
        </w:tc>
        <w:tc>
          <w:tcPr>
            <w:tcW w:w="1340" w:type="dxa"/>
            <w:vAlign w:val="bottom"/>
            <w:gridSpan w:val="2"/>
            <w:shd w:val="clear" w:color="auto" w:fill="F2F2F2"/>
          </w:tcPr>
          <w:p>
            <w:pPr>
              <w:jc w:val="right"/>
              <w:ind w:right="31"/>
              <w:spacing w:after="0"/>
              <w:rPr>
                <w:sz w:val="20"/>
                <w:szCs w:val="20"/>
                <w:color w:val="auto"/>
              </w:rPr>
            </w:pPr>
            <w:r>
              <w:rPr>
                <w:rFonts w:ascii="Arial" w:cs="Arial" w:eastAsia="Arial" w:hAnsi="Arial"/>
                <w:sz w:val="16"/>
                <w:szCs w:val="16"/>
                <w:color w:val="auto"/>
              </w:rPr>
              <w:t xml:space="preserve">         3,879,000 </w:t>
            </w:r>
            <w:r>
              <w:rPr>
                <w:rFonts w:ascii="Arial" w:cs="Arial" w:eastAsia="Arial" w:hAnsi="Arial"/>
                <w:sz w:val="3"/>
                <w:szCs w:val="3"/>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 xml:space="preserve">$ </w:t>
            </w:r>
          </w:p>
        </w:tc>
        <w:tc>
          <w:tcPr>
            <w:tcW w:w="1380" w:type="dxa"/>
            <w:vAlign w:val="bottom"/>
            <w:gridSpan w:val="2"/>
            <w:shd w:val="clear" w:color="auto" w:fill="F2F2F2"/>
          </w:tcPr>
          <w:p>
            <w:pPr>
              <w:jc w:val="right"/>
              <w:ind w:right="71"/>
              <w:spacing w:after="0"/>
              <w:rPr>
                <w:sz w:val="20"/>
                <w:szCs w:val="20"/>
                <w:color w:val="auto"/>
              </w:rPr>
            </w:pPr>
            <w:r>
              <w:rPr>
                <w:rFonts w:ascii="Arial" w:cs="Arial" w:eastAsia="Arial" w:hAnsi="Arial"/>
                <w:sz w:val="16"/>
                <w:szCs w:val="16"/>
                <w:color w:val="auto"/>
              </w:rPr>
              <w:t xml:space="preserve">         3,375,000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41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82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300" w:type="dxa"/>
            <w:vAlign w:val="bottom"/>
          </w:tcPr>
          <w:p>
            <w:pPr>
              <w:ind w:left="22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1,183,000</w:t>
            </w:r>
          </w:p>
        </w:tc>
        <w:tc>
          <w:tcPr>
            <w:tcW w:w="60" w:type="dxa"/>
            <w:vAlign w:val="bottom"/>
          </w:tcPr>
          <w:p>
            <w:pPr>
              <w:jc w:val="right"/>
              <w:ind w:right="31"/>
              <w:spacing w:after="0"/>
              <w:rPr>
                <w:sz w:val="20"/>
                <w:szCs w:val="20"/>
                <w:color w:val="auto"/>
              </w:rPr>
            </w:pPr>
            <w:r>
              <w:rPr>
                <w:rFonts w:ascii="Arial" w:cs="Arial" w:eastAsia="Arial" w:hAnsi="Arial"/>
                <w:sz w:val="2"/>
                <w:szCs w:val="2"/>
                <w:color w:val="auto"/>
                <w:w w:val="42949422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534,000</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1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820" w:type="dxa"/>
            <w:vAlign w:val="bottom"/>
            <w:shd w:val="clear" w:color="auto" w:fill="F2F2F2"/>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300" w:type="dxa"/>
            <w:vAlign w:val="bottom"/>
            <w:shd w:val="clear" w:color="auto" w:fill="F2F2F2"/>
          </w:tcPr>
          <w:p>
            <w:pPr>
              <w:ind w:left="22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426,000</w:t>
            </w:r>
          </w:p>
        </w:tc>
        <w:tc>
          <w:tcPr>
            <w:tcW w:w="60" w:type="dxa"/>
            <w:vAlign w:val="bottom"/>
            <w:shd w:val="clear" w:color="auto" w:fill="F2F2F2"/>
          </w:tcPr>
          <w:p>
            <w:pPr>
              <w:jc w:val="right"/>
              <w:ind w:right="31"/>
              <w:spacing w:after="0"/>
              <w:rPr>
                <w:sz w:val="20"/>
                <w:szCs w:val="20"/>
                <w:color w:val="auto"/>
              </w:rPr>
            </w:pPr>
            <w:r>
              <w:rPr>
                <w:rFonts w:ascii="Arial" w:cs="Arial" w:eastAsia="Arial" w:hAnsi="Arial"/>
                <w:sz w:val="2"/>
                <w:szCs w:val="2"/>
                <w:color w:val="auto"/>
                <w:w w:val="4294942296"/>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1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820" w:type="dxa"/>
            <w:vAlign w:val="bottom"/>
          </w:tcPr>
          <w:p>
            <w:pPr>
              <w:ind w:left="40"/>
              <w:spacing w:after="0"/>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300" w:type="dxa"/>
            <w:vAlign w:val="bottom"/>
          </w:tcPr>
          <w:p>
            <w:pPr>
              <w:ind w:left="224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1"/>
              <w:spacing w:after="0"/>
              <w:rPr>
                <w:sz w:val="20"/>
                <w:szCs w:val="20"/>
                <w:color w:val="auto"/>
              </w:rPr>
            </w:pPr>
            <w:r>
              <w:rPr>
                <w:rFonts w:ascii="Arial" w:cs="Arial" w:eastAsia="Arial" w:hAnsi="Arial"/>
                <w:sz w:val="16"/>
                <w:szCs w:val="16"/>
                <w:color w:val="auto"/>
              </w:rPr>
              <w:t xml:space="preserve">6,000 </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71"/>
              <w:spacing w:after="0"/>
              <w:rPr>
                <w:sz w:val="20"/>
                <w:szCs w:val="20"/>
                <w:color w:val="auto"/>
              </w:rPr>
            </w:pPr>
            <w:r>
              <w:rPr>
                <w:rFonts w:ascii="Arial" w:cs="Arial" w:eastAsia="Arial" w:hAnsi="Arial"/>
                <w:sz w:val="16"/>
                <w:szCs w:val="16"/>
                <w:color w:val="auto"/>
              </w:rPr>
              <w:t xml:space="preserve">6,000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82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Total Fees</w:t>
            </w:r>
          </w:p>
        </w:tc>
        <w:tc>
          <w:tcPr>
            <w:tcW w:w="2300" w:type="dxa"/>
            <w:vAlign w:val="bottom"/>
            <w:shd w:val="clear" w:color="auto" w:fill="F2F2F2"/>
          </w:tcPr>
          <w:p>
            <w:pPr>
              <w:ind w:left="22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auto"/>
              </w:rPr>
              <w:t>5,494,000</w:t>
            </w:r>
          </w:p>
        </w:tc>
        <w:tc>
          <w:tcPr>
            <w:tcW w:w="60" w:type="dxa"/>
            <w:vAlign w:val="bottom"/>
            <w:shd w:val="clear" w:color="auto" w:fill="F2F2F2"/>
          </w:tcPr>
          <w:p>
            <w:pPr>
              <w:jc w:val="right"/>
              <w:ind w:right="31"/>
              <w:spacing w:after="0"/>
              <w:rPr>
                <w:sz w:val="20"/>
                <w:szCs w:val="20"/>
                <w:color w:val="auto"/>
              </w:rPr>
            </w:pPr>
            <w:r>
              <w:rPr>
                <w:rFonts w:ascii="Arial" w:cs="Arial" w:eastAsia="Arial" w:hAnsi="Arial"/>
                <w:sz w:val="2"/>
                <w:szCs w:val="2"/>
                <w:color w:val="auto"/>
                <w:w w:val="4294942296"/>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auto"/>
              </w:rPr>
              <w:t>4,025,000</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60"/>
        </w:trPr>
        <w:tc>
          <w:tcPr>
            <w:tcW w:w="40" w:type="dxa"/>
            <w:vAlign w:val="bottom"/>
            <w:shd w:val="clear" w:color="auto" w:fill="F2F2F2"/>
          </w:tcPr>
          <w:p>
            <w:pPr>
              <w:spacing w:after="0"/>
              <w:rPr>
                <w:sz w:val="5"/>
                <w:szCs w:val="5"/>
                <w:color w:val="auto"/>
              </w:rPr>
            </w:pPr>
          </w:p>
        </w:tc>
        <w:tc>
          <w:tcPr>
            <w:tcW w:w="3820" w:type="dxa"/>
            <w:vAlign w:val="bottom"/>
            <w:shd w:val="clear" w:color="auto" w:fill="F2F2F2"/>
          </w:tcPr>
          <w:p>
            <w:pPr>
              <w:spacing w:after="0"/>
              <w:rPr>
                <w:sz w:val="5"/>
                <w:szCs w:val="5"/>
                <w:color w:val="auto"/>
              </w:rPr>
            </w:pPr>
          </w:p>
        </w:tc>
        <w:tc>
          <w:tcPr>
            <w:tcW w:w="230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240" w:type="dxa"/>
            <w:vAlign w:val="bottom"/>
            <w:shd w:val="clear" w:color="auto" w:fill="F2F2F2"/>
          </w:tcPr>
          <w:p>
            <w:pPr>
              <w:spacing w:after="0"/>
              <w:rPr>
                <w:sz w:val="5"/>
                <w:szCs w:val="5"/>
                <w:color w:val="auto"/>
              </w:rPr>
            </w:pPr>
          </w:p>
        </w:tc>
        <w:tc>
          <w:tcPr>
            <w:tcW w:w="1280" w:type="dxa"/>
            <w:vAlign w:val="bottom"/>
            <w:shd w:val="clear" w:color="auto" w:fill="F2F2F2"/>
          </w:tcPr>
          <w:p>
            <w:pPr>
              <w:spacing w:after="0"/>
              <w:rPr>
                <w:sz w:val="5"/>
                <w:szCs w:val="5"/>
                <w:color w:val="auto"/>
              </w:rPr>
            </w:pPr>
          </w:p>
        </w:tc>
        <w:tc>
          <w:tcPr>
            <w:tcW w:w="6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240" w:type="dxa"/>
            <w:vAlign w:val="bottom"/>
            <w:shd w:val="clear" w:color="auto" w:fill="F2F2F2"/>
          </w:tcPr>
          <w:p>
            <w:pPr>
              <w:spacing w:after="0"/>
              <w:rPr>
                <w:sz w:val="5"/>
                <w:szCs w:val="5"/>
                <w:color w:val="auto"/>
              </w:rPr>
            </w:pPr>
          </w:p>
        </w:tc>
        <w:tc>
          <w:tcPr>
            <w:tcW w:w="128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4" w:right="80" w:hanging="244"/>
        <w:spacing w:after="0" w:line="207" w:lineRule="auto"/>
        <w:tabs>
          <w:tab w:leader="none" w:pos="244"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spacing w:after="0" w:line="17" w:lineRule="exact"/>
        <w:rPr>
          <w:rFonts w:ascii="Arial" w:cs="Arial" w:eastAsia="Arial" w:hAnsi="Arial"/>
          <w:sz w:val="22"/>
          <w:szCs w:val="22"/>
          <w:color w:val="auto"/>
          <w:vertAlign w:val="superscript"/>
        </w:rPr>
      </w:pPr>
    </w:p>
    <w:p>
      <w:pPr>
        <w:ind w:left="244" w:right="80" w:hanging="244"/>
        <w:spacing w:after="0" w:line="214" w:lineRule="auto"/>
        <w:tabs>
          <w:tab w:leader="none" w:pos="244"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This includes fees for professional services with respect to the Statement on Standards for Attestation Engagements (SSAE) No. 18 and other service organization control related examinations, certifications, and assessments, and for fiscal year 2022, due diligence services related to mergers and acquisitions.</w:t>
      </w:r>
    </w:p>
    <w:p>
      <w:pPr>
        <w:spacing w:after="0" w:line="2"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spacing w:after="0" w:line="3" w:lineRule="exact"/>
        <w:rPr>
          <w:rFonts w:ascii="Arial" w:cs="Arial" w:eastAsia="Arial" w:hAnsi="Arial"/>
          <w:sz w:val="20"/>
          <w:szCs w:val="20"/>
          <w:color w:val="auto"/>
          <w:vertAlign w:val="superscript"/>
        </w:rPr>
      </w:pPr>
    </w:p>
    <w:p>
      <w:pPr>
        <w:ind w:left="244" w:right="560" w:hanging="244"/>
        <w:spacing w:after="0" w:line="193" w:lineRule="auto"/>
        <w:tabs>
          <w:tab w:leader="none" w:pos="244"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 xml:space="preserve">. Proxy Statement and Notice of 2023 Annual Meeting of Stockholders        </w:t>
      </w:r>
      <w:r>
        <w:rPr>
          <w:rFonts w:ascii="Arial" w:cs="Arial" w:eastAsia="Arial" w:hAnsi="Arial"/>
          <w:sz w:val="14"/>
          <w:szCs w:val="14"/>
          <w:b w:val="1"/>
          <w:bCs w:val="1"/>
          <w:color w:val="auto"/>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jc w:val="both"/>
        <w:ind w:right="560"/>
        <w:spacing w:after="0" w:line="246" w:lineRule="auto"/>
        <w:rPr>
          <w:sz w:val="20"/>
          <w:szCs w:val="20"/>
          <w:color w:val="auto"/>
        </w:rPr>
      </w:pPr>
      <w:r>
        <w:rPr>
          <w:rFonts w:ascii="Arial" w:cs="Arial" w:eastAsia="Arial" w:hAnsi="Arial"/>
          <w:sz w:val="32"/>
          <w:szCs w:val="32"/>
          <w:color w:val="0063A6"/>
        </w:rPr>
        <w:t>PROPOSAL NO. 2—RATIFICATION OF APPOINTMENT OF INDEPENDENT REGISTERED PUBLIC ACCOUNTING FIRM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Auditor Independence</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our fiscal year ended December 31, 2022, there were no other professional services provided by Ernst &amp; Young LLP, other than those listed above, that would have required our audit committee to consider their compatibility with maintaining the independence of Ernst &amp; Young LLP.</w:t>
      </w:r>
    </w:p>
    <w:p>
      <w:pPr>
        <w:spacing w:after="0" w:line="193" w:lineRule="exact"/>
        <w:rPr>
          <w:sz w:val="20"/>
          <w:szCs w:val="20"/>
          <w:color w:val="auto"/>
        </w:rPr>
      </w:pPr>
    </w:p>
    <w:p>
      <w:pPr>
        <w:ind w:right="700"/>
        <w:spacing w:after="0" w:line="250"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2021 and 2022 were pre-approved by our audit committee.</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2023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5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26         </w:t>
      </w:r>
      <w:r>
        <w:rPr>
          <w:rFonts w:ascii="Arial" w:cs="Arial" w:eastAsia="Arial" w:hAnsi="Arial"/>
          <w:sz w:val="14"/>
          <w:szCs w:val="14"/>
          <w:b w:val="1"/>
          <w:bCs w:val="1"/>
          <w:color w:val="0063A6"/>
        </w:rPr>
        <w:t>Dropbox, Inc</w:t>
      </w:r>
      <w:r>
        <w:rPr>
          <w:rFonts w:ascii="Arial" w:cs="Arial" w:eastAsia="Arial" w:hAnsi="Arial"/>
          <w:sz w:val="14"/>
          <w:szCs w:val="14"/>
          <w:color w:val="0063A6"/>
        </w:rPr>
        <w:t>. 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60" w:top="265" w:right="1259" w:bottom="1440" w:gutter="0" w:footer="0" w:header="0"/>
        </w:sectPr>
      </w:pPr>
    </w:p>
    <w:bookmarkStart w:id="30" w:name="page31"/>
    <w:bookmarkEnd w:id="30"/>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REPORT OF THE AUDIT COMMITTEE</w:t>
      </w:r>
    </w:p>
    <w:p>
      <w:pPr>
        <w:spacing w:after="0" w:line="170" w:lineRule="exact"/>
        <w:rPr>
          <w:sz w:val="20"/>
          <w:szCs w:val="20"/>
          <w:color w:val="auto"/>
        </w:rPr>
      </w:pPr>
    </w:p>
    <w:p>
      <w:pPr>
        <w:ind w:left="4" w:right="100"/>
        <w:spacing w:after="0" w:line="246"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w:t>
      </w:r>
    </w:p>
    <w:p>
      <w:pPr>
        <w:spacing w:after="0" w:line="2" w:lineRule="exact"/>
        <w:rPr>
          <w:sz w:val="20"/>
          <w:szCs w:val="20"/>
          <w:color w:val="auto"/>
        </w:rPr>
      </w:pPr>
    </w:p>
    <w:p>
      <w:pPr>
        <w:ind w:left="4" w:right="40" w:hanging="4"/>
        <w:spacing w:after="0" w:line="249" w:lineRule="auto"/>
        <w:tabs>
          <w:tab w:leader="none" w:pos="2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50" w:lineRule="exact"/>
        <w:rPr>
          <w:rFonts w:ascii="Arial" w:cs="Arial" w:eastAsia="Arial" w:hAnsi="Arial"/>
          <w:sz w:val="16"/>
          <w:szCs w:val="16"/>
          <w:color w:val="auto"/>
        </w:rPr>
      </w:pPr>
    </w:p>
    <w:p>
      <w:pPr>
        <w:ind w:left="644" w:hanging="284"/>
        <w:spacing w:after="0"/>
        <w:tabs>
          <w:tab w:leader="none" w:pos="644" w:val="left"/>
        </w:tabs>
        <w:numPr>
          <w:ilvl w:val="1"/>
          <w:numId w:val="37"/>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644" w:right="220" w:hanging="284"/>
        <w:spacing w:after="0" w:line="260" w:lineRule="auto"/>
        <w:tabs>
          <w:tab w:leader="none" w:pos="644" w:val="left"/>
        </w:tabs>
        <w:numPr>
          <w:ilvl w:val="1"/>
          <w:numId w:val="37"/>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141" w:lineRule="exact"/>
        <w:rPr>
          <w:rFonts w:ascii="Arial" w:cs="Arial" w:eastAsia="Arial" w:hAnsi="Arial"/>
          <w:sz w:val="16"/>
          <w:szCs w:val="16"/>
          <w:color w:val="0063A6"/>
        </w:rPr>
      </w:pPr>
    </w:p>
    <w:p>
      <w:pPr>
        <w:jc w:val="both"/>
        <w:ind w:left="644" w:right="520" w:hanging="284"/>
        <w:spacing w:after="0" w:line="253" w:lineRule="auto"/>
        <w:tabs>
          <w:tab w:leader="none" w:pos="644" w:val="left"/>
        </w:tabs>
        <w:numPr>
          <w:ilvl w:val="1"/>
          <w:numId w:val="37"/>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47" w:lineRule="exact"/>
        <w:rPr>
          <w:sz w:val="20"/>
          <w:szCs w:val="20"/>
          <w:color w:val="auto"/>
        </w:rPr>
      </w:pPr>
    </w:p>
    <w:p>
      <w:pPr>
        <w:jc w:val="both"/>
        <w:ind w:left="4" w:right="140"/>
        <w:spacing w:after="0" w:line="253"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2022 for filing with the SEC.</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Donald W. Blair (Chair)</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Lisa Campbell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Sara Mathew</w:t>
      </w:r>
    </w:p>
    <w:p>
      <w:pPr>
        <w:spacing w:after="0" w:line="167"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the Exchange Act, except to the extent that we specifically incorporate this information by reference, and will not otherwise be deemed “soliciting material” or “filed” under either the Securities Act or the Exchange Act.</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2022 Annual Meeting of Stockholders       </w:t>
      </w:r>
      <w:r>
        <w:rPr>
          <w:rFonts w:ascii="Arial" w:cs="Arial" w:eastAsia="Arial" w:hAnsi="Arial"/>
          <w:sz w:val="14"/>
          <w:szCs w:val="14"/>
          <w:b w:val="1"/>
          <w:bCs w:val="1"/>
          <w:color w:val="auto"/>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700"/>
        <w:spacing w:after="0" w:line="260" w:lineRule="auto"/>
        <w:rPr>
          <w:sz w:val="20"/>
          <w:szCs w:val="20"/>
          <w:color w:val="auto"/>
        </w:rPr>
      </w:pPr>
      <w:r>
        <w:rPr>
          <w:rFonts w:ascii="Arial" w:cs="Arial" w:eastAsia="Arial" w:hAnsi="Arial"/>
          <w:sz w:val="32"/>
          <w:szCs w:val="32"/>
          <w:color w:val="0063A6"/>
        </w:rPr>
        <w:t>PROPOSAL NO. 3—ADVISORY VOTE ON THE COMPENSATION OF OUR NAMED EXECUTIVE OFFICERS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3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4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147"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We currently hold our advisory vote on executive compensation annually. Accordingly, the next advisory vote on executive compensation will be held at our 2024 annual meeting of stockholders.</w:t>
      </w:r>
    </w:p>
    <w:p>
      <w:pPr>
        <w:spacing w:after="0" w:line="351"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28 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OFFICERS</w:t>
      </w:r>
    </w:p>
    <w:p>
      <w:pPr>
        <w:spacing w:after="0" w:line="17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following table identifies certain information about our executive officers as of March 23, 2023.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077585" cy="942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7585" cy="9429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0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p>
        </w:tc>
        <w:tc>
          <w:tcPr>
            <w:tcW w:w="620" w:type="dxa"/>
            <w:vAlign w:val="bottom"/>
            <w:shd w:val="clear" w:color="auto" w:fill="0063A6"/>
          </w:tcPr>
          <w:p>
            <w:pPr>
              <w:ind w:left="56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Age</w:t>
            </w:r>
          </w:p>
        </w:tc>
        <w:tc>
          <w:tcPr>
            <w:tcW w:w="320" w:type="dxa"/>
            <w:vAlign w:val="bottom"/>
            <w:shd w:val="clear" w:color="auto" w:fill="0063A6"/>
          </w:tcPr>
          <w:p>
            <w:pPr>
              <w:ind w:left="260"/>
              <w:spacing w:after="0"/>
              <w:rPr>
                <w:sz w:val="20"/>
                <w:szCs w:val="20"/>
                <w:color w:val="auto"/>
              </w:rPr>
            </w:pPr>
            <w:r>
              <w:rPr>
                <w:rFonts w:ascii="Arial" w:cs="Arial" w:eastAsia="Arial" w:hAnsi="Arial"/>
                <w:sz w:val="4"/>
                <w:szCs w:val="4"/>
                <w:color w:val="auto"/>
              </w:rPr>
              <w:t>​</w:t>
            </w:r>
          </w:p>
        </w:tc>
        <w:tc>
          <w:tcPr>
            <w:tcW w:w="438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r>
              <w:rPr>
                <w:rFonts w:ascii="Arial" w:cs="Arial" w:eastAsia="Arial" w:hAnsi="Arial"/>
                <w:sz w:val="14"/>
                <w:szCs w:val="14"/>
                <w:b w:val="1"/>
                <w:bCs w:val="1"/>
                <w:color w:val="FFFFFF"/>
              </w:rPr>
              <w:t>Position</w:t>
            </w:r>
          </w:p>
        </w:tc>
        <w:tc>
          <w:tcPr>
            <w:tcW w:w="1020" w:type="dxa"/>
            <w:vAlign w:val="bottom"/>
            <w:shd w:val="clear" w:color="auto" w:fill="0063A6"/>
          </w:tcPr>
          <w:p>
            <w:pPr>
              <w:ind w:left="920"/>
              <w:spacing w:after="0"/>
              <w:rPr>
                <w:sz w:val="20"/>
                <w:szCs w:val="20"/>
                <w:color w:val="auto"/>
              </w:rPr>
            </w:pPr>
            <w:r>
              <w:rPr>
                <w:rFonts w:ascii="Arial" w:cs="Arial" w:eastAsia="Arial" w:hAnsi="Arial"/>
                <w:sz w:val="4"/>
                <w:szCs w:val="4"/>
                <w:color w:val="auto"/>
              </w:rPr>
              <w:t>​</w:t>
            </w:r>
          </w:p>
        </w:tc>
      </w:tr>
      <w:tr>
        <w:trPr>
          <w:trHeight w:val="79"/>
        </w:trPr>
        <w:tc>
          <w:tcPr>
            <w:tcW w:w="40" w:type="dxa"/>
            <w:vAlign w:val="bottom"/>
            <w:shd w:val="clear" w:color="auto" w:fill="0063A6"/>
          </w:tcPr>
          <w:p>
            <w:pPr>
              <w:spacing w:after="0"/>
              <w:rPr>
                <w:sz w:val="6"/>
                <w:szCs w:val="6"/>
                <w:color w:val="auto"/>
              </w:rPr>
            </w:pPr>
          </w:p>
        </w:tc>
        <w:tc>
          <w:tcPr>
            <w:tcW w:w="2040" w:type="dxa"/>
            <w:vAlign w:val="bottom"/>
            <w:shd w:val="clear" w:color="auto" w:fill="0063A6"/>
          </w:tcPr>
          <w:p>
            <w:pPr>
              <w:spacing w:after="0"/>
              <w:rPr>
                <w:sz w:val="6"/>
                <w:szCs w:val="6"/>
                <w:color w:val="auto"/>
              </w:rPr>
            </w:pPr>
          </w:p>
        </w:tc>
        <w:tc>
          <w:tcPr>
            <w:tcW w:w="620" w:type="dxa"/>
            <w:vAlign w:val="bottom"/>
            <w:shd w:val="clear" w:color="auto" w:fill="0063A6"/>
          </w:tcPr>
          <w:p>
            <w:pPr>
              <w:spacing w:after="0"/>
              <w:rPr>
                <w:sz w:val="6"/>
                <w:szCs w:val="6"/>
                <w:color w:val="auto"/>
              </w:rPr>
            </w:pPr>
          </w:p>
        </w:tc>
        <w:tc>
          <w:tcPr>
            <w:tcW w:w="340" w:type="dxa"/>
            <w:vAlign w:val="bottom"/>
            <w:shd w:val="clear" w:color="auto" w:fill="0063A6"/>
          </w:tcPr>
          <w:p>
            <w:pPr>
              <w:spacing w:after="0"/>
              <w:rPr>
                <w:sz w:val="6"/>
                <w:szCs w:val="6"/>
                <w:color w:val="auto"/>
              </w:rPr>
            </w:pPr>
          </w:p>
        </w:tc>
        <w:tc>
          <w:tcPr>
            <w:tcW w:w="800" w:type="dxa"/>
            <w:vAlign w:val="bottom"/>
            <w:shd w:val="clear" w:color="auto" w:fill="0063A6"/>
          </w:tcPr>
          <w:p>
            <w:pPr>
              <w:spacing w:after="0"/>
              <w:rPr>
                <w:sz w:val="6"/>
                <w:szCs w:val="6"/>
                <w:color w:val="auto"/>
              </w:rPr>
            </w:pPr>
          </w:p>
        </w:tc>
        <w:tc>
          <w:tcPr>
            <w:tcW w:w="320" w:type="dxa"/>
            <w:vAlign w:val="bottom"/>
            <w:shd w:val="clear" w:color="auto" w:fill="0063A6"/>
          </w:tcPr>
          <w:p>
            <w:pPr>
              <w:spacing w:after="0"/>
              <w:rPr>
                <w:sz w:val="6"/>
                <w:szCs w:val="6"/>
                <w:color w:val="auto"/>
              </w:rPr>
            </w:pPr>
          </w:p>
        </w:tc>
        <w:tc>
          <w:tcPr>
            <w:tcW w:w="4380" w:type="dxa"/>
            <w:vAlign w:val="bottom"/>
            <w:shd w:val="clear" w:color="auto" w:fill="0063A6"/>
          </w:tcPr>
          <w:p>
            <w:pPr>
              <w:spacing w:after="0"/>
              <w:rPr>
                <w:sz w:val="6"/>
                <w:szCs w:val="6"/>
                <w:color w:val="auto"/>
              </w:rPr>
            </w:pPr>
          </w:p>
        </w:tc>
        <w:tc>
          <w:tcPr>
            <w:tcW w:w="1020" w:type="dxa"/>
            <w:vAlign w:val="bottom"/>
            <w:shd w:val="clear" w:color="auto" w:fill="0063A6"/>
          </w:tcPr>
          <w:p>
            <w:pPr>
              <w:spacing w:after="0"/>
              <w:rPr>
                <w:sz w:val="6"/>
                <w:szCs w:val="6"/>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40</w:t>
            </w:r>
          </w:p>
        </w:tc>
        <w:tc>
          <w:tcPr>
            <w:tcW w:w="320" w:type="dxa"/>
            <w:vAlign w:val="bottom"/>
            <w:shd w:val="clear" w:color="auto" w:fill="F2F2F2"/>
          </w:tcPr>
          <w:p>
            <w:pPr>
              <w:ind w:left="260"/>
              <w:spacing w:after="0"/>
              <w:rPr>
                <w:sz w:val="20"/>
                <w:szCs w:val="20"/>
                <w:color w:val="auto"/>
              </w:rPr>
            </w:pPr>
            <w:r>
              <w:rPr>
                <w:rFonts w:ascii="Arial" w:cs="Arial" w:eastAsia="Arial" w:hAnsi="Arial"/>
                <w:sz w:val="4"/>
                <w:szCs w:val="4"/>
                <w:color w:val="auto"/>
              </w:rPr>
              <w:t>​</w:t>
            </w:r>
          </w:p>
        </w:tc>
        <w:tc>
          <w:tcPr>
            <w:tcW w:w="438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Chief Executive Officer, Co-Founder, and Chair</w:t>
            </w:r>
          </w:p>
        </w:tc>
        <w:tc>
          <w:tcPr>
            <w:tcW w:w="1020" w:type="dxa"/>
            <w:vAlign w:val="bottom"/>
            <w:shd w:val="clear" w:color="auto" w:fill="F2F2F2"/>
          </w:tcPr>
          <w:p>
            <w:pPr>
              <w:ind w:left="92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2040" w:type="dxa"/>
            <w:vAlign w:val="bottom"/>
            <w:shd w:val="clear" w:color="auto" w:fill="F2F2F2"/>
          </w:tcPr>
          <w:p>
            <w:pPr>
              <w:spacing w:after="0"/>
              <w:rPr>
                <w:sz w:val="7"/>
                <w:szCs w:val="7"/>
                <w:color w:val="auto"/>
              </w:rPr>
            </w:pPr>
          </w:p>
        </w:tc>
        <w:tc>
          <w:tcPr>
            <w:tcW w:w="62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438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04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340" w:type="dxa"/>
            <w:vAlign w:val="bottom"/>
          </w:tcPr>
          <w:p>
            <w:pPr>
              <w:ind w:left="60"/>
              <w:spacing w:after="0"/>
              <w:rPr>
                <w:sz w:val="20"/>
                <w:szCs w:val="20"/>
                <w:color w:val="auto"/>
              </w:rPr>
            </w:pPr>
            <w:r>
              <w:rPr>
                <w:rFonts w:ascii="Arial" w:cs="Arial" w:eastAsia="Arial" w:hAnsi="Arial"/>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46</w:t>
            </w:r>
          </w:p>
        </w:tc>
        <w:tc>
          <w:tcPr>
            <w:tcW w:w="320" w:type="dxa"/>
            <w:vAlign w:val="bottom"/>
          </w:tcPr>
          <w:p>
            <w:pPr>
              <w:ind w:left="260"/>
              <w:spacing w:after="0"/>
              <w:rPr>
                <w:sz w:val="20"/>
                <w:szCs w:val="20"/>
                <w:color w:val="auto"/>
              </w:rPr>
            </w:pPr>
            <w:r>
              <w:rPr>
                <w:rFonts w:ascii="Arial" w:cs="Arial" w:eastAsia="Arial" w:hAnsi="Arial"/>
                <w:sz w:val="4"/>
                <w:szCs w:val="4"/>
                <w:color w:val="auto"/>
              </w:rPr>
              <w:t>​</w:t>
            </w:r>
          </w:p>
        </w:tc>
        <w:tc>
          <w:tcPr>
            <w:tcW w:w="4380" w:type="dxa"/>
            <w:vAlign w:val="bottom"/>
          </w:tcPr>
          <w:p>
            <w:pPr>
              <w:ind w:left="40"/>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Chief Financial Officer</w:t>
            </w:r>
          </w:p>
        </w:tc>
        <w:tc>
          <w:tcPr>
            <w:tcW w:w="1020" w:type="dxa"/>
            <w:vAlign w:val="bottom"/>
          </w:tcPr>
          <w:p>
            <w:pPr>
              <w:ind w:left="92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40" w:type="dxa"/>
            <w:vAlign w:val="bottom"/>
            <w:shd w:val="clear" w:color="auto" w:fill="F2F2F2"/>
          </w:tcPr>
          <w:p>
            <w:pPr>
              <w:ind w:left="40"/>
              <w:spacing w:after="0"/>
              <w:rPr>
                <w:sz w:val="20"/>
                <w:szCs w:val="20"/>
                <w:color w:val="auto"/>
              </w:rPr>
            </w:pPr>
            <w:r>
              <w:rPr>
                <w:rFonts w:ascii="Arial" w:cs="Arial" w:eastAsia="Arial" w:hAnsi="Arial"/>
                <w:sz w:val="16"/>
                <w:szCs w:val="16"/>
                <w:color w:val="auto"/>
              </w:rPr>
              <w:t>Bart E. Volkmer</w:t>
            </w: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48</w:t>
            </w:r>
          </w:p>
        </w:tc>
        <w:tc>
          <w:tcPr>
            <w:tcW w:w="320" w:type="dxa"/>
            <w:vAlign w:val="bottom"/>
            <w:shd w:val="clear" w:color="auto" w:fill="F2F2F2"/>
          </w:tcPr>
          <w:p>
            <w:pPr>
              <w:ind w:left="260"/>
              <w:spacing w:after="0"/>
              <w:rPr>
                <w:sz w:val="20"/>
                <w:szCs w:val="20"/>
                <w:color w:val="auto"/>
              </w:rPr>
            </w:pPr>
            <w:r>
              <w:rPr>
                <w:rFonts w:ascii="Arial" w:cs="Arial" w:eastAsia="Arial" w:hAnsi="Arial"/>
                <w:sz w:val="4"/>
                <w:szCs w:val="4"/>
                <w:color w:val="auto"/>
              </w:rPr>
              <w:t>​</w:t>
            </w:r>
          </w:p>
        </w:tc>
        <w:tc>
          <w:tcPr>
            <w:tcW w:w="438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Chief Legal Officer</w:t>
            </w:r>
          </w:p>
        </w:tc>
        <w:tc>
          <w:tcPr>
            <w:tcW w:w="1020" w:type="dxa"/>
            <w:vAlign w:val="bottom"/>
            <w:shd w:val="clear" w:color="auto" w:fill="F2F2F2"/>
          </w:tcPr>
          <w:p>
            <w:pPr>
              <w:ind w:left="920"/>
              <w:spacing w:after="0"/>
              <w:rPr>
                <w:sz w:val="20"/>
                <w:szCs w:val="20"/>
                <w:color w:val="auto"/>
              </w:rPr>
            </w:pPr>
            <w:r>
              <w:rPr>
                <w:rFonts w:ascii="Arial" w:cs="Arial" w:eastAsia="Arial" w:hAnsi="Arial"/>
                <w:sz w:val="4"/>
                <w:szCs w:val="4"/>
                <w:color w:val="auto"/>
              </w:rPr>
              <w:t>​</w:t>
            </w:r>
          </w:p>
        </w:tc>
      </w:tr>
      <w:tr>
        <w:trPr>
          <w:trHeight w:val="60"/>
        </w:trPr>
        <w:tc>
          <w:tcPr>
            <w:tcW w:w="40" w:type="dxa"/>
            <w:vAlign w:val="bottom"/>
            <w:shd w:val="clear" w:color="auto" w:fill="F2F2F2"/>
          </w:tcPr>
          <w:p>
            <w:pPr>
              <w:spacing w:after="0"/>
              <w:rPr>
                <w:sz w:val="5"/>
                <w:szCs w:val="5"/>
                <w:color w:val="auto"/>
              </w:rPr>
            </w:pPr>
          </w:p>
        </w:tc>
        <w:tc>
          <w:tcPr>
            <w:tcW w:w="2040" w:type="dxa"/>
            <w:vAlign w:val="bottom"/>
            <w:shd w:val="clear" w:color="auto" w:fill="F2F2F2"/>
          </w:tcPr>
          <w:p>
            <w:pPr>
              <w:spacing w:after="0"/>
              <w:rPr>
                <w:sz w:val="5"/>
                <w:szCs w:val="5"/>
                <w:color w:val="auto"/>
              </w:rPr>
            </w:pPr>
          </w:p>
        </w:tc>
        <w:tc>
          <w:tcPr>
            <w:tcW w:w="62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800" w:type="dxa"/>
            <w:vAlign w:val="bottom"/>
            <w:shd w:val="clear" w:color="auto" w:fill="F2F2F2"/>
          </w:tcPr>
          <w:p>
            <w:pPr>
              <w:spacing w:after="0"/>
              <w:rPr>
                <w:sz w:val="5"/>
                <w:szCs w:val="5"/>
                <w:color w:val="auto"/>
              </w:rPr>
            </w:pPr>
          </w:p>
        </w:tc>
        <w:tc>
          <w:tcPr>
            <w:tcW w:w="320" w:type="dxa"/>
            <w:vAlign w:val="bottom"/>
            <w:shd w:val="clear" w:color="auto" w:fill="F2F2F2"/>
          </w:tcPr>
          <w:p>
            <w:pPr>
              <w:spacing w:after="0"/>
              <w:rPr>
                <w:sz w:val="5"/>
                <w:szCs w:val="5"/>
                <w:color w:val="auto"/>
              </w:rPr>
            </w:pPr>
          </w:p>
        </w:tc>
        <w:tc>
          <w:tcPr>
            <w:tcW w:w="4380" w:type="dxa"/>
            <w:vAlign w:val="bottom"/>
            <w:shd w:val="clear" w:color="auto" w:fill="F2F2F2"/>
          </w:tcPr>
          <w:p>
            <w:pPr>
              <w:spacing w:after="0"/>
              <w:rPr>
                <w:sz w:val="5"/>
                <w:szCs w:val="5"/>
                <w:color w:val="auto"/>
              </w:rPr>
            </w:pPr>
          </w:p>
        </w:tc>
        <w:tc>
          <w:tcPr>
            <w:tcW w:w="1020" w:type="dxa"/>
            <w:vAlign w:val="bottom"/>
            <w:shd w:val="clear" w:color="auto" w:fill="F2F2F2"/>
          </w:tcPr>
          <w:p>
            <w:pPr>
              <w:spacing w:after="0"/>
              <w:rPr>
                <w:sz w:val="5"/>
                <w:szCs w:val="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Mr. Houston’s biography,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w:t>
      </w:r>
    </w:p>
    <w:p>
      <w:pPr>
        <w:spacing w:after="0" w:line="16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0063A6"/>
        </w:rPr>
        <w:t>Timothy Regan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Regan, CPA, has served as Dropbox’s Chief Financial Officer since September 2020. Previously, he served</w:t>
      </w:r>
      <w:r>
        <w:rPr>
          <w:rFonts w:ascii="Arial" w:cs="Arial" w:eastAsia="Arial" w:hAnsi="Arial"/>
          <w:sz w:val="16"/>
          <w:szCs w:val="16"/>
          <w:b w:val="1"/>
          <w:bCs w:val="1"/>
          <w:color w:val="0063A6"/>
        </w:rPr>
        <w:t xml:space="preserve"> </w:t>
      </w:r>
      <w:r>
        <w:rPr>
          <w:rFonts w:ascii="Arial" w:cs="Arial" w:eastAsia="Arial" w:hAnsi="Arial"/>
          <w:sz w:val="16"/>
          <w:szCs w:val="16"/>
          <w:color w:val="000000"/>
        </w:rPr>
        <w:t>as Dropbox’s Chief 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Bart E. Volkmer</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Mr. Volkmer has served as our Chief Legal Officer since January 2020. From June 2016 to January 2020,</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Mr. Volkmer served as our General Counsel and from August 2011 to June 2016, Mr. Volkmer served as our Head of Litigation &amp; Regulatory. Prior to joining Dropbox, Mr. Volkmer practiced law at Wilson Sonsini Goodrich &amp; Rosati, a law firm, from 2003 to 2011, where he counseled early-stage and established technology companies. Mr. Volkmer holds a J.D. from Santa Clara University School of Law and a B.A. in English from Creighton University.</w:t>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33" w:name="page34"/>
    <w:bookmarkEnd w:id="33"/>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 Discussion and Analysis</w:t>
      </w:r>
    </w:p>
    <w:p>
      <w:pPr>
        <w:spacing w:after="0" w:line="169" w:lineRule="exact"/>
        <w:rPr>
          <w:sz w:val="20"/>
          <w:szCs w:val="20"/>
          <w:color w:val="auto"/>
        </w:rPr>
      </w:pPr>
    </w:p>
    <w:p>
      <w:pPr>
        <w:ind w:left="4" w:right="160"/>
        <w:spacing w:after="0" w:line="25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2022.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2022, and discusses the key factors that our talent and compensation committee considered in determining their compensation.</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named executive officers for 2022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208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7585" cy="120840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06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380" w:type="dxa"/>
            <w:vAlign w:val="bottom"/>
            <w:shd w:val="clear" w:color="auto" w:fill="0063A6"/>
          </w:tcPr>
          <w:p>
            <w:pPr>
              <w:ind w:left="32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43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Title</w:t>
            </w:r>
          </w:p>
        </w:tc>
        <w:tc>
          <w:tcPr>
            <w:tcW w:w="2660" w:type="dxa"/>
            <w:vAlign w:val="bottom"/>
            <w:shd w:val="clear" w:color="auto" w:fill="0063A6"/>
          </w:tcPr>
          <w:p>
            <w:pPr>
              <w:ind w:left="2620"/>
              <w:spacing w:after="0"/>
              <w:rPr>
                <w:sz w:val="20"/>
                <w:szCs w:val="20"/>
                <w:color w:val="auto"/>
              </w:rPr>
            </w:pPr>
            <w:r>
              <w:rPr>
                <w:rFonts w:ascii="Arial" w:cs="Arial" w:eastAsia="Arial" w:hAnsi="Arial"/>
                <w:sz w:val="4"/>
                <w:szCs w:val="4"/>
                <w:color w:val="auto"/>
              </w:rPr>
              <w:t>​</w:t>
            </w:r>
          </w:p>
        </w:tc>
      </w:tr>
      <w:tr>
        <w:trPr>
          <w:trHeight w:val="80"/>
        </w:trPr>
        <w:tc>
          <w:tcPr>
            <w:tcW w:w="40" w:type="dxa"/>
            <w:vAlign w:val="bottom"/>
            <w:shd w:val="clear" w:color="auto" w:fill="0063A6"/>
          </w:tcPr>
          <w:p>
            <w:pPr>
              <w:spacing w:after="0"/>
              <w:rPr>
                <w:sz w:val="6"/>
                <w:szCs w:val="6"/>
                <w:color w:val="auto"/>
              </w:rPr>
            </w:pPr>
          </w:p>
        </w:tc>
        <w:tc>
          <w:tcPr>
            <w:tcW w:w="2060" w:type="dxa"/>
            <w:vAlign w:val="bottom"/>
            <w:shd w:val="clear" w:color="auto" w:fill="0063A6"/>
          </w:tcPr>
          <w:p>
            <w:pPr>
              <w:spacing w:after="0"/>
              <w:rPr>
                <w:sz w:val="6"/>
                <w:szCs w:val="6"/>
                <w:color w:val="auto"/>
              </w:rPr>
            </w:pPr>
          </w:p>
        </w:tc>
        <w:tc>
          <w:tcPr>
            <w:tcW w:w="38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4320" w:type="dxa"/>
            <w:vAlign w:val="bottom"/>
            <w:shd w:val="clear" w:color="auto" w:fill="0063A6"/>
          </w:tcPr>
          <w:p>
            <w:pPr>
              <w:spacing w:after="0"/>
              <w:rPr>
                <w:sz w:val="6"/>
                <w:szCs w:val="6"/>
                <w:color w:val="auto"/>
              </w:rPr>
            </w:pPr>
          </w:p>
        </w:tc>
        <w:tc>
          <w:tcPr>
            <w:tcW w:w="2660" w:type="dxa"/>
            <w:vAlign w:val="bottom"/>
            <w:shd w:val="clear" w:color="auto" w:fill="0063A6"/>
          </w:tcPr>
          <w:p>
            <w:pPr>
              <w:spacing w:after="0"/>
              <w:rPr>
                <w:sz w:val="6"/>
                <w:szCs w:val="6"/>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6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Andrew W. Houston</w:t>
            </w:r>
          </w:p>
        </w:tc>
        <w:tc>
          <w:tcPr>
            <w:tcW w:w="380" w:type="dxa"/>
            <w:vAlign w:val="bottom"/>
            <w:shd w:val="clear" w:color="auto" w:fill="F2F2F2"/>
          </w:tcPr>
          <w:p>
            <w:pPr>
              <w:ind w:left="32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4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Chief Executive Officer</w:t>
            </w:r>
          </w:p>
        </w:tc>
        <w:tc>
          <w:tcPr>
            <w:tcW w:w="2660" w:type="dxa"/>
            <w:vAlign w:val="bottom"/>
            <w:shd w:val="clear" w:color="auto" w:fill="F2F2F2"/>
          </w:tcPr>
          <w:p>
            <w:pPr>
              <w:ind w:left="262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4320" w:type="dxa"/>
            <w:vAlign w:val="bottom"/>
            <w:shd w:val="clear" w:color="auto" w:fill="F2F2F2"/>
          </w:tcPr>
          <w:p>
            <w:pPr>
              <w:spacing w:after="0"/>
              <w:rPr>
                <w:sz w:val="7"/>
                <w:szCs w:val="7"/>
                <w:color w:val="auto"/>
              </w:rPr>
            </w:pPr>
          </w:p>
        </w:tc>
        <w:tc>
          <w:tcPr>
            <w:tcW w:w="266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Timothy Regan</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43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660" w:type="dxa"/>
            <w:vAlign w:val="bottom"/>
          </w:tcPr>
          <w:p>
            <w:pPr>
              <w:ind w:left="262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2660" w:type="dxa"/>
            <w:vAlign w:val="bottom"/>
          </w:tcPr>
          <w:p>
            <w:pPr>
              <w:spacing w:after="0"/>
              <w:rPr>
                <w:sz w:val="7"/>
                <w:szCs w:val="7"/>
                <w:color w:val="auto"/>
              </w:rPr>
            </w:pPr>
          </w:p>
        </w:tc>
      </w:tr>
      <w:tr>
        <w:trPr>
          <w:trHeight w:val="41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6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Timothy Young</w:t>
            </w:r>
            <w:r>
              <w:rPr>
                <w:rFonts w:ascii="Arial" w:cs="Arial" w:eastAsia="Arial" w:hAnsi="Arial"/>
                <w:sz w:val="26"/>
                <w:szCs w:val="26"/>
                <w:b w:val="1"/>
                <w:bCs w:val="1"/>
                <w:color w:val="auto"/>
                <w:vertAlign w:val="superscript"/>
              </w:rPr>
              <w:t>(1)</w:t>
            </w:r>
          </w:p>
        </w:tc>
        <w:tc>
          <w:tcPr>
            <w:tcW w:w="380" w:type="dxa"/>
            <w:vAlign w:val="bottom"/>
            <w:shd w:val="clear" w:color="auto" w:fill="F2F2F2"/>
          </w:tcPr>
          <w:p>
            <w:pPr>
              <w:ind w:left="32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4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President</w:t>
            </w:r>
          </w:p>
        </w:tc>
        <w:tc>
          <w:tcPr>
            <w:tcW w:w="2660" w:type="dxa"/>
            <w:vAlign w:val="bottom"/>
            <w:shd w:val="clear" w:color="auto" w:fill="F2F2F2"/>
          </w:tcPr>
          <w:p>
            <w:pPr>
              <w:ind w:left="2620"/>
              <w:spacing w:after="0"/>
              <w:rPr>
                <w:sz w:val="20"/>
                <w:szCs w:val="20"/>
                <w:color w:val="auto"/>
              </w:rPr>
            </w:pPr>
            <w:r>
              <w:rPr>
                <w:rFonts w:ascii="Arial" w:cs="Arial" w:eastAsia="Arial" w:hAnsi="Arial"/>
                <w:sz w:val="4"/>
                <w:szCs w:val="4"/>
                <w:color w:val="auto"/>
              </w:rPr>
              <w:t>​</w:t>
            </w: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060" w:type="dxa"/>
            <w:vAlign w:val="bottom"/>
          </w:tcPr>
          <w:p>
            <w:pPr>
              <w:ind w:left="40"/>
              <w:spacing w:after="0"/>
              <w:rPr>
                <w:sz w:val="20"/>
                <w:szCs w:val="20"/>
                <w:color w:val="auto"/>
              </w:rPr>
            </w:pPr>
            <w:r>
              <w:rPr>
                <w:rFonts w:ascii="Arial" w:cs="Arial" w:eastAsia="Arial" w:hAnsi="Arial"/>
                <w:sz w:val="16"/>
                <w:szCs w:val="16"/>
                <w:b w:val="1"/>
                <w:bCs w:val="1"/>
                <w:color w:val="auto"/>
              </w:rPr>
              <w:t>Bart E. Volkmer</w:t>
            </w:r>
          </w:p>
        </w:tc>
        <w:tc>
          <w:tcPr>
            <w:tcW w:w="380" w:type="dxa"/>
            <w:vAlign w:val="bottom"/>
          </w:tcPr>
          <w:p>
            <w:pPr>
              <w:ind w:left="32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4320" w:type="dxa"/>
            <w:vAlign w:val="bottom"/>
          </w:tcPr>
          <w:p>
            <w:pPr>
              <w:ind w:left="60"/>
              <w:spacing w:after="0"/>
              <w:rPr>
                <w:sz w:val="20"/>
                <w:szCs w:val="20"/>
                <w:color w:val="auto"/>
              </w:rPr>
            </w:pPr>
            <w:r>
              <w:rPr>
                <w:rFonts w:ascii="Arial" w:cs="Arial" w:eastAsia="Arial" w:hAnsi="Arial"/>
                <w:sz w:val="16"/>
                <w:szCs w:val="16"/>
                <w:color w:val="auto"/>
              </w:rPr>
              <w:t>Chief Legal Officer</w:t>
            </w:r>
          </w:p>
        </w:tc>
        <w:tc>
          <w:tcPr>
            <w:tcW w:w="2660" w:type="dxa"/>
            <w:vAlign w:val="bottom"/>
          </w:tcPr>
          <w:p>
            <w:pPr>
              <w:ind w:left="2620"/>
              <w:spacing w:after="0"/>
              <w:rPr>
                <w:sz w:val="20"/>
                <w:szCs w:val="20"/>
                <w:color w:val="auto"/>
              </w:rPr>
            </w:pPr>
            <w:r>
              <w:rPr>
                <w:rFonts w:ascii="Arial" w:cs="Arial" w:eastAsia="Arial" w:hAnsi="Arial"/>
                <w:sz w:val="4"/>
                <w:szCs w:val="4"/>
                <w:color w:val="auto"/>
              </w:rPr>
              <w:t>​</w:t>
            </w:r>
          </w:p>
        </w:tc>
      </w:tr>
    </w:tbl>
    <w:p>
      <w:pPr>
        <w:spacing w:after="0" w:line="173" w:lineRule="exact"/>
        <w:rPr>
          <w:sz w:val="20"/>
          <w:szCs w:val="20"/>
          <w:color w:val="auto"/>
        </w:rPr>
      </w:pPr>
    </w:p>
    <w:p>
      <w:pPr>
        <w:ind w:left="244" w:right="520" w:hanging="244"/>
        <w:spacing w:after="0" w:line="193" w:lineRule="auto"/>
        <w:tabs>
          <w:tab w:leader="none" w:pos="244"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Mr. Young resigned as President of the company effective February 1, 2023 and remained employed with the company as a non-executive employee until March 15, 2023.</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Executive Summary</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Who We Are</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Dropbox is the one place to keep life organized and keep work moving.</w:t>
      </w:r>
    </w:p>
    <w:p>
      <w:pPr>
        <w:spacing w:after="0" w:line="167"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48"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The Dropbox platform breaks down silos by centralizing the flow of information between the products and services our users prefer, even if they’re not our own. In a world where using technology at work can be fragmented and distracting, the Dropbox platform makes it easy to focus on the work that matters.</w:t>
      </w:r>
    </w:p>
    <w:p>
      <w:pPr>
        <w:spacing w:after="0" w:line="154"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The popularity of our platform allows us to scale rapidly and efficiently. We’ve built a thriving global business with 17.77 million paying users as of December 31, 2022.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30 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2022 Business Results and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35" w:name="page36"/>
    <w:bookmarkEnd w:id="3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32"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33"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860" w:type="dxa"/>
            <w:vAlign w:val="bottom"/>
          </w:tcPr>
          <w:p>
            <w:pPr>
              <w:spacing w:after="0"/>
              <w:rPr>
                <w:sz w:val="20"/>
                <w:szCs w:val="20"/>
                <w:color w:val="auto"/>
              </w:rPr>
            </w:pPr>
            <w:r>
              <w:rPr>
                <w:rFonts w:ascii="Arial" w:cs="Arial" w:eastAsia="Arial" w:hAnsi="Arial"/>
                <w:sz w:val="4"/>
                <w:szCs w:val="4"/>
                <w:color w:val="auto"/>
              </w:rPr>
              <w:t>​</w:t>
            </w:r>
          </w:p>
        </w:tc>
        <w:tc>
          <w:tcPr>
            <w:tcW w:w="3040" w:type="dxa"/>
            <w:vAlign w:val="bottom"/>
          </w:tcPr>
          <w:p>
            <w:pPr>
              <w:ind w:left="840"/>
              <w:spacing w:after="0"/>
              <w:rPr>
                <w:sz w:val="20"/>
                <w:szCs w:val="20"/>
                <w:color w:val="auto"/>
              </w:rPr>
            </w:pPr>
            <w:r>
              <w:rPr>
                <w:rFonts w:ascii="Arial" w:cs="Arial" w:eastAsia="Arial" w:hAnsi="Arial"/>
                <w:sz w:val="25"/>
                <w:szCs w:val="25"/>
                <w:b w:val="1"/>
                <w:bCs w:val="1"/>
                <w:color w:val="auto"/>
              </w:rPr>
              <w:t>What we do</w:t>
            </w:r>
          </w:p>
        </w:tc>
        <w:tc>
          <w:tcPr>
            <w:tcW w:w="1560" w:type="dxa"/>
            <w:vAlign w:val="bottom"/>
          </w:tcPr>
          <w:p>
            <w:pPr>
              <w:ind w:left="78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3380" w:type="dxa"/>
            <w:vAlign w:val="bottom"/>
          </w:tcPr>
          <w:p>
            <w:pPr>
              <w:ind w:left="680"/>
              <w:spacing w:after="0"/>
              <w:rPr>
                <w:sz w:val="20"/>
                <w:szCs w:val="20"/>
                <w:color w:val="auto"/>
              </w:rPr>
            </w:pPr>
            <w:r>
              <w:rPr>
                <w:rFonts w:ascii="Arial" w:cs="Arial" w:eastAsia="Arial" w:hAnsi="Arial"/>
                <w:sz w:val="25"/>
                <w:szCs w:val="25"/>
                <w:b w:val="1"/>
                <w:bCs w:val="1"/>
                <w:color w:val="auto"/>
              </w:rPr>
              <w:t>What we don’t do</w:t>
            </w:r>
          </w:p>
        </w:tc>
        <w:tc>
          <w:tcPr>
            <w:tcW w:w="640" w:type="dxa"/>
            <w:vAlign w:val="bottom"/>
          </w:tcPr>
          <w:p>
            <w:pPr>
              <w:ind w:left="620"/>
              <w:spacing w:after="0"/>
              <w:rPr>
                <w:sz w:val="20"/>
                <w:szCs w:val="20"/>
                <w:color w:val="auto"/>
              </w:rPr>
            </w:pPr>
            <w:r>
              <w:rPr>
                <w:rFonts w:ascii="Arial" w:cs="Arial" w:eastAsia="Arial" w:hAnsi="Arial"/>
                <w:sz w:val="2"/>
                <w:szCs w:val="2"/>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077585" cy="4594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7585" cy="4594860"/>
                    </a:xfrm>
                    <a:prstGeom prst="rect">
                      <a:avLst/>
                    </a:prstGeom>
                    <a:noFill/>
                  </pic:spPr>
                </pic:pic>
              </a:graphicData>
            </a:graphic>
          </wp:anchor>
        </w:drawing>
      </w:r>
    </w:p>
    <w:p>
      <w:pPr>
        <w:sectPr>
          <w:pgSz w:w="11900" w:h="16838" w:orient="portrait"/>
          <w:cols w:equalWidth="0" w:num="1">
            <w:col w:w="9484"/>
          </w:cols>
          <w:pgMar w:left="1156" w:top="265" w:right="1259" w:bottom="1440" w:gutter="0" w:footer="0" w:header="0"/>
        </w:sectPr>
      </w:pPr>
    </w:p>
    <w:p>
      <w:pPr>
        <w:spacing w:after="0" w:line="369" w:lineRule="exact"/>
        <w:rPr>
          <w:sz w:val="20"/>
          <w:szCs w:val="20"/>
          <w:color w:val="auto"/>
        </w:rPr>
      </w:pPr>
    </w:p>
    <w:p>
      <w:pPr>
        <w:ind w:left="18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Maintain an Independent Talent and Compensation</w:t>
      </w:r>
    </w:p>
    <w:p>
      <w:pPr>
        <w:spacing w:after="0" w:line="47" w:lineRule="exact"/>
        <w:rPr>
          <w:sz w:val="20"/>
          <w:szCs w:val="20"/>
          <w:color w:val="auto"/>
        </w:rPr>
      </w:pPr>
    </w:p>
    <w:p>
      <w:pPr>
        <w:ind w:left="464"/>
        <w:spacing w:after="0"/>
        <w:rPr>
          <w:sz w:val="20"/>
          <w:szCs w:val="20"/>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The talent and compensation committee</w:t>
      </w:r>
    </w:p>
    <w:p>
      <w:pPr>
        <w:spacing w:after="0" w:line="5" w:lineRule="exact"/>
        <w:rPr>
          <w:sz w:val="20"/>
          <w:szCs w:val="20"/>
          <w:color w:val="auto"/>
        </w:rPr>
      </w:pPr>
    </w:p>
    <w:p>
      <w:pPr>
        <w:ind w:left="464"/>
        <w:spacing w:after="0"/>
        <w:rPr>
          <w:sz w:val="20"/>
          <w:szCs w:val="20"/>
          <w:color w:val="auto"/>
        </w:rPr>
      </w:pPr>
      <w:r>
        <w:rPr>
          <w:rFonts w:ascii="Arial" w:cs="Arial" w:eastAsia="Arial" w:hAnsi="Arial"/>
          <w:sz w:val="16"/>
          <w:szCs w:val="16"/>
          <w:color w:val="auto"/>
        </w:rPr>
        <w:t>consists solely of independent directors who establish our</w:t>
      </w:r>
    </w:p>
    <w:p>
      <w:pPr>
        <w:spacing w:after="0" w:line="5" w:lineRule="exact"/>
        <w:rPr>
          <w:sz w:val="20"/>
          <w:szCs w:val="20"/>
          <w:color w:val="auto"/>
        </w:rPr>
      </w:pPr>
    </w:p>
    <w:p>
      <w:pPr>
        <w:ind w:left="464"/>
        <w:spacing w:after="0"/>
        <w:rPr>
          <w:sz w:val="20"/>
          <w:szCs w:val="20"/>
          <w:color w:val="auto"/>
        </w:rPr>
      </w:pPr>
      <w:r>
        <w:rPr>
          <w:rFonts w:ascii="Arial" w:cs="Arial" w:eastAsia="Arial" w:hAnsi="Arial"/>
          <w:sz w:val="16"/>
          <w:szCs w:val="16"/>
          <w:color w:val="auto"/>
        </w:rPr>
        <w:t>compensation practices.</w:t>
      </w:r>
    </w:p>
    <w:p>
      <w:pPr>
        <w:spacing w:after="0" w:line="5"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ind w:left="18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Retain an Independent Compensation Advisor.</w:t>
      </w:r>
      <w:r>
        <w:rPr>
          <w:rFonts w:ascii="Arial" w:cs="Arial" w:eastAsia="Arial" w:hAnsi="Arial"/>
          <w:sz w:val="16"/>
          <w:szCs w:val="16"/>
          <w:color w:val="auto"/>
        </w:rPr>
        <w:t xml:space="preserve"> The</w:t>
      </w:r>
    </w:p>
    <w:p>
      <w:pPr>
        <w:spacing w:after="0" w:line="9" w:lineRule="exact"/>
        <w:rPr>
          <w:sz w:val="20"/>
          <w:szCs w:val="20"/>
          <w:color w:val="auto"/>
        </w:rPr>
      </w:pPr>
    </w:p>
    <w:p>
      <w:pPr>
        <w:ind w:left="464" w:right="200"/>
        <w:spacing w:after="0" w:line="247" w:lineRule="auto"/>
        <w:rPr>
          <w:sz w:val="20"/>
          <w:szCs w:val="20"/>
          <w:color w:val="auto"/>
        </w:rPr>
      </w:pPr>
      <w:r>
        <w:rPr>
          <w:rFonts w:ascii="Arial" w:cs="Arial" w:eastAsia="Arial" w:hAnsi="Arial"/>
          <w:sz w:val="16"/>
          <w:szCs w:val="16"/>
          <w:color w:val="auto"/>
        </w:rPr>
        <w:t>talent and compensation committee has engaged its own compensation consultant to provide information, analysis, and other advice on executive compensation independent of management. This consultant performed no other consulting or other services for us in 2022.  </w:t>
      </w:r>
    </w:p>
    <w:p>
      <w:pPr>
        <w:spacing w:after="0" w:line="184" w:lineRule="exact"/>
        <w:rPr>
          <w:sz w:val="20"/>
          <w:szCs w:val="20"/>
          <w:color w:val="auto"/>
        </w:rPr>
      </w:pPr>
    </w:p>
    <w:p>
      <w:pPr>
        <w:ind w:left="18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Annual Executive Compensation Review.</w:t>
      </w:r>
      <w:r>
        <w:rPr>
          <w:rFonts w:ascii="Arial" w:cs="Arial" w:eastAsia="Arial" w:hAnsi="Arial"/>
          <w:sz w:val="16"/>
          <w:szCs w:val="16"/>
          <w:color w:val="auto"/>
        </w:rPr>
        <w:t xml:space="preserve"> The talent</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and compensation committee conducts an annual review</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of our compensation strategy and a review of our</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compensation-related risk profile to ensure that our</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compensation programs do not encourage excessive or</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inappropriate risk-taking.</w:t>
            </w:r>
          </w:p>
        </w:tc>
        <w:tc>
          <w:tcPr>
            <w:tcW w:w="120" w:type="dxa"/>
            <w:vAlign w:val="bottom"/>
          </w:tcPr>
          <w:p>
            <w:pPr>
              <w:spacing w:after="0"/>
              <w:rPr>
                <w:sz w:val="16"/>
                <w:szCs w:val="16"/>
                <w:color w:val="auto"/>
              </w:rPr>
            </w:pPr>
          </w:p>
        </w:tc>
      </w:tr>
      <w:tr>
        <w:trPr>
          <w:trHeight w:val="103"/>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4580" w:type="dxa"/>
            <w:vAlign w:val="bottom"/>
          </w:tcPr>
          <w:p>
            <w:pPr>
              <w:ind w:left="360"/>
              <w:spacing w:after="0" w:line="93" w:lineRule="exact"/>
              <w:rPr>
                <w:sz w:val="20"/>
                <w:szCs w:val="20"/>
                <w:color w:val="auto"/>
              </w:rPr>
            </w:pPr>
            <w:r>
              <w:rPr>
                <w:rFonts w:ascii="Arial" w:cs="Arial" w:eastAsia="Arial" w:hAnsi="Arial"/>
                <w:sz w:val="10"/>
                <w:szCs w:val="10"/>
                <w:color w:val="auto"/>
              </w:rPr>
              <w:t> </w:t>
            </w:r>
          </w:p>
        </w:tc>
        <w:tc>
          <w:tcPr>
            <w:tcW w:w="12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r>
      <w:tr>
        <w:trPr>
          <w:trHeight w:val="275"/>
        </w:trPr>
        <w:tc>
          <w:tcPr>
            <w:tcW w:w="100" w:type="dxa"/>
            <w:vAlign w:val="bottom"/>
          </w:tcPr>
          <w:p>
            <w:pPr>
              <w:spacing w:after="0"/>
              <w:rPr>
                <w:sz w:val="23"/>
                <w:szCs w:val="23"/>
                <w:color w:val="auto"/>
              </w:rPr>
            </w:pPr>
          </w:p>
        </w:tc>
        <w:tc>
          <w:tcPr>
            <w:tcW w:w="458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At-Risk.</w:t>
            </w:r>
            <w:r>
              <w:rPr>
                <w:rFonts w:ascii="Arial" w:cs="Arial" w:eastAsia="Arial" w:hAnsi="Arial"/>
                <w:sz w:val="16"/>
                <w:szCs w:val="16"/>
                <w:color w:val="auto"/>
              </w:rPr>
              <w:t xml:space="preserve"> Our executive compensation</w:t>
            </w:r>
          </w:p>
        </w:tc>
        <w:tc>
          <w:tcPr>
            <w:tcW w:w="120" w:type="dxa"/>
            <w:vAlign w:val="bottom"/>
          </w:tcPr>
          <w:p>
            <w:pPr>
              <w:spacing w:after="0"/>
              <w:rPr>
                <w:sz w:val="23"/>
                <w:szCs w:val="23"/>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program is designed so that a significant portion of our</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executive officer’s compensation is “at risk” based on</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corporate performance, as well as equity-based, to align</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the interests of our executive officers and stockholders.</w:t>
            </w:r>
          </w:p>
        </w:tc>
        <w:tc>
          <w:tcPr>
            <w:tcW w:w="12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4580" w:type="dxa"/>
            <w:vAlign w:val="bottom"/>
          </w:tcPr>
          <w:p>
            <w:pPr>
              <w:ind w:left="360"/>
              <w:spacing w:after="0" w:line="148" w:lineRule="exact"/>
              <w:rPr>
                <w:sz w:val="20"/>
                <w:szCs w:val="20"/>
                <w:color w:val="auto"/>
              </w:rPr>
            </w:pPr>
            <w:r>
              <w:rPr>
                <w:rFonts w:ascii="Arial" w:cs="Arial" w:eastAsia="Arial" w:hAnsi="Arial"/>
                <w:sz w:val="16"/>
                <w:szCs w:val="16"/>
                <w:color w:val="auto"/>
              </w:rPr>
              <w:t> </w:t>
            </w:r>
          </w:p>
        </w:tc>
        <w:tc>
          <w:tcPr>
            <w:tcW w:w="120" w:type="dxa"/>
            <w:vAlign w:val="bottom"/>
          </w:tcPr>
          <w:p>
            <w:pPr>
              <w:spacing w:after="0"/>
              <w:rPr>
                <w:sz w:val="12"/>
                <w:szCs w:val="12"/>
                <w:color w:val="auto"/>
              </w:rPr>
            </w:pPr>
          </w:p>
        </w:tc>
      </w:tr>
      <w:tr>
        <w:trPr>
          <w:trHeight w:val="231"/>
        </w:trPr>
        <w:tc>
          <w:tcPr>
            <w:tcW w:w="100" w:type="dxa"/>
            <w:vAlign w:val="bottom"/>
          </w:tcPr>
          <w:p>
            <w:pPr>
              <w:spacing w:after="0"/>
              <w:rPr>
                <w:sz w:val="20"/>
                <w:szCs w:val="20"/>
                <w:color w:val="auto"/>
              </w:rPr>
            </w:pPr>
          </w:p>
        </w:tc>
        <w:tc>
          <w:tcPr>
            <w:tcW w:w="458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Use a Pay-for-Performance Philosophy.</w:t>
            </w:r>
            <w:r>
              <w:rPr>
                <w:rFonts w:ascii="Arial" w:cs="Arial" w:eastAsia="Arial" w:hAnsi="Arial"/>
                <w:sz w:val="16"/>
                <w:szCs w:val="16"/>
                <w:color w:val="auto"/>
              </w:rPr>
              <w:t xml:space="preserve"> The majority of</w:t>
            </w:r>
          </w:p>
        </w:tc>
        <w:tc>
          <w:tcPr>
            <w:tcW w:w="120" w:type="dxa"/>
            <w:vAlign w:val="bottom"/>
          </w:tcPr>
          <w:p>
            <w:pPr>
              <w:spacing w:after="0"/>
              <w:rPr>
                <w:sz w:val="20"/>
                <w:szCs w:val="20"/>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our executive officers’ compensation is directly linked to</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corporate performance; we also structure their target total</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direct compensation opportunities with a significant long-</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term equity component, thereby making a substantial</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portion of each executive officer’s target total direct</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compensation dependent upon our stock price and/or total</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stockholder return.</w:t>
            </w:r>
          </w:p>
        </w:tc>
        <w:tc>
          <w:tcPr>
            <w:tcW w:w="12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4580" w:type="dxa"/>
            <w:vAlign w:val="bottom"/>
          </w:tcPr>
          <w:p>
            <w:pPr>
              <w:ind w:left="360"/>
              <w:spacing w:after="0" w:line="148" w:lineRule="exact"/>
              <w:rPr>
                <w:sz w:val="20"/>
                <w:szCs w:val="20"/>
                <w:color w:val="auto"/>
              </w:rPr>
            </w:pPr>
            <w:r>
              <w:rPr>
                <w:rFonts w:ascii="Arial" w:cs="Arial" w:eastAsia="Arial" w:hAnsi="Arial"/>
                <w:sz w:val="16"/>
                <w:szCs w:val="16"/>
                <w:color w:val="auto"/>
              </w:rPr>
              <w:t> </w:t>
            </w:r>
          </w:p>
        </w:tc>
        <w:tc>
          <w:tcPr>
            <w:tcW w:w="120" w:type="dxa"/>
            <w:vAlign w:val="bottom"/>
          </w:tcPr>
          <w:p>
            <w:pPr>
              <w:spacing w:after="0"/>
              <w:rPr>
                <w:sz w:val="12"/>
                <w:szCs w:val="12"/>
                <w:color w:val="auto"/>
              </w:rPr>
            </w:pPr>
          </w:p>
        </w:tc>
      </w:tr>
      <w:tr>
        <w:trPr>
          <w:trHeight w:val="231"/>
        </w:trPr>
        <w:tc>
          <w:tcPr>
            <w:tcW w:w="100" w:type="dxa"/>
            <w:vAlign w:val="bottom"/>
          </w:tcPr>
          <w:p>
            <w:pPr>
              <w:spacing w:after="0"/>
              <w:rPr>
                <w:sz w:val="20"/>
                <w:szCs w:val="20"/>
                <w:color w:val="auto"/>
              </w:rPr>
            </w:pPr>
          </w:p>
        </w:tc>
        <w:tc>
          <w:tcPr>
            <w:tcW w:w="458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Succession Planning.</w:t>
            </w:r>
            <w:r>
              <w:rPr>
                <w:rFonts w:ascii="Arial" w:cs="Arial" w:eastAsia="Arial" w:hAnsi="Arial"/>
                <w:sz w:val="16"/>
                <w:szCs w:val="16"/>
                <w:color w:val="auto"/>
              </w:rPr>
              <w:t xml:space="preserve"> We review the risks associated</w:t>
            </w:r>
          </w:p>
        </w:tc>
        <w:tc>
          <w:tcPr>
            <w:tcW w:w="120" w:type="dxa"/>
            <w:vAlign w:val="bottom"/>
          </w:tcPr>
          <w:p>
            <w:pPr>
              <w:spacing w:after="0"/>
              <w:rPr>
                <w:sz w:val="20"/>
                <w:szCs w:val="20"/>
                <w:color w:val="auto"/>
              </w:rPr>
            </w:pPr>
          </w:p>
        </w:tc>
      </w:tr>
      <w:tr>
        <w:trPr>
          <w:trHeight w:val="189"/>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with our key executive officer positions to ensure adequate</w:t>
            </w:r>
          </w:p>
        </w:tc>
        <w:tc>
          <w:tcPr>
            <w:tcW w:w="120" w:type="dxa"/>
            <w:vAlign w:val="bottom"/>
          </w:tcPr>
          <w:p>
            <w:pPr>
              <w:spacing w:after="0"/>
              <w:rPr>
                <w:sz w:val="16"/>
                <w:szCs w:val="16"/>
                <w:color w:val="auto"/>
              </w:rPr>
            </w:pPr>
          </w:p>
        </w:tc>
      </w:tr>
      <w:tr>
        <w:trPr>
          <w:trHeight w:val="195"/>
        </w:trPr>
        <w:tc>
          <w:tcPr>
            <w:tcW w:w="10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succession plans are in place.</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260" w:right="120" w:hanging="253"/>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Guaranteed Bonuses.</w:t>
      </w:r>
      <w:r>
        <w:rPr>
          <w:rFonts w:ascii="Arial" w:cs="Arial" w:eastAsia="Arial" w:hAnsi="Arial"/>
          <w:sz w:val="16"/>
          <w:szCs w:val="16"/>
          <w:color w:val="auto"/>
        </w:rPr>
        <w:t xml:space="preserve"> We do not provide guaranteed bonuses to our executive officers.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ind w:left="260" w:right="140" w:hanging="253"/>
        <w:spacing w:after="0" w:line="19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Executive Retirement Plans.</w:t>
      </w:r>
      <w:r>
        <w:rPr>
          <w:rFonts w:ascii="Arial" w:cs="Arial" w:eastAsia="Arial" w:hAnsi="Arial"/>
          <w:sz w:val="16"/>
          <w:szCs w:val="16"/>
          <w:color w:val="auto"/>
        </w:rPr>
        <w:t xml:space="preserve"> We do not offer defined benefit pension plans or any non-qualified deferred compensation plans or arrangements to our executive officers, other than the plans and arrangements that are available to all employees.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ind w:left="260" w:right="60" w:hanging="253"/>
        <w:spacing w:after="0" w:line="19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Hedging or Pledging.</w:t>
      </w:r>
      <w:r>
        <w:rPr>
          <w:rFonts w:ascii="Arial" w:cs="Arial" w:eastAsia="Arial" w:hAnsi="Arial"/>
          <w:sz w:val="16"/>
          <w:szCs w:val="16"/>
          <w:color w:val="auto"/>
        </w:rPr>
        <w:t xml:space="preserve"> We prohibit our employees (including our executive officers) and the non-employee members of our board of directors from hedging or pledging our securities.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jc w:val="both"/>
        <w:ind w:left="260" w:right="60" w:hanging="253"/>
        <w:spacing w:after="0" w:line="191"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Tax Payments on Perquisites.</w:t>
      </w:r>
      <w:r>
        <w:rPr>
          <w:rFonts w:ascii="Arial" w:cs="Arial" w:eastAsia="Arial" w:hAnsi="Arial"/>
          <w:sz w:val="16"/>
          <w:szCs w:val="16"/>
          <w:color w:val="auto"/>
        </w:rPr>
        <w:t xml:space="preserve"> We do not provide any tax reimbursement payments (including “gross-ups”) on any perquisites or other personal benefits.</w:t>
      </w:r>
    </w:p>
    <w:p>
      <w:pPr>
        <w:ind w:left="26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firstLine="254"/>
        <w:spacing w:after="0" w:line="18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
          <w:szCs w:val="3"/>
          <w:color w:val="auto"/>
        </w:rPr>
        <w: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Excise Tax Payments on Future Post-Employment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Compensation Arrangements. </w:t>
      </w:r>
      <w:r>
        <w:rPr>
          <w:rFonts w:ascii="Arial" w:cs="Arial" w:eastAsia="Arial" w:hAnsi="Arial"/>
          <w:sz w:val="16"/>
          <w:szCs w:val="16"/>
          <w:color w:val="auto"/>
        </w:rPr>
        <w:t>We do not provide any</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excise tax reimbursement payments (including “gross-ups”)</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payments or benefits contingent upon a change in</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control of the company.</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ind w:left="260" w:right="340" w:hanging="253"/>
        <w:spacing w:after="0" w:line="19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Special Welfare or Health Benefits.</w:t>
      </w:r>
      <w:r>
        <w:rPr>
          <w:rFonts w:ascii="Arial" w:cs="Arial" w:eastAsia="Arial" w:hAnsi="Arial"/>
          <w:sz w:val="16"/>
          <w:szCs w:val="16"/>
          <w:color w:val="auto"/>
        </w:rPr>
        <w:t xml:space="preserve"> We do not provide our executive officers with any welfare or health benefit programs, other than participation in our broad-based employee programs. All highly compensated employees are</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eligible for special long-term disability.</w:t>
      </w:r>
    </w:p>
    <w:p>
      <w:pPr>
        <w:spacing w:after="0" w:line="1344" w:lineRule="exact"/>
        <w:rPr>
          <w:sz w:val="20"/>
          <w:szCs w:val="20"/>
          <w:color w:val="auto"/>
        </w:rPr>
      </w:pPr>
    </w:p>
    <w:p>
      <w:pPr>
        <w:sectPr>
          <w:pgSz w:w="11900" w:h="16838" w:orient="portrait"/>
          <w:cols w:equalWidth="0" w:num="2">
            <w:col w:w="4804" w:space="100"/>
            <w:col w:w="4580"/>
          </w:cols>
          <w:pgMar w:left="1156" w:top="265" w:right="1259" w:bottom="1440" w:gutter="0" w:footer="0" w:header="0"/>
          <w:type w:val="continuous"/>
        </w:sectPr>
      </w:pPr>
    </w:p>
    <w:p>
      <w:pPr>
        <w:spacing w:after="0" w:line="21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Executive Compensation Philosophy and Objectives</w:t>
      </w:r>
    </w:p>
    <w:p>
      <w:pPr>
        <w:spacing w:after="0" w:line="169" w:lineRule="exact"/>
        <w:rPr>
          <w:sz w:val="20"/>
          <w:szCs w:val="20"/>
          <w:color w:val="auto"/>
        </w:rPr>
      </w:pPr>
    </w:p>
    <w:p>
      <w:pPr>
        <w:ind w:left="4" w:right="120"/>
        <w:spacing w:after="0" w:line="260"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41" w:lineRule="exact"/>
        <w:rPr>
          <w:sz w:val="20"/>
          <w:szCs w:val="20"/>
          <w:color w:val="auto"/>
        </w:rPr>
      </w:pPr>
    </w:p>
    <w:p>
      <w:pPr>
        <w:ind w:left="284" w:right="60" w:hanging="284"/>
        <w:spacing w:after="0" w:line="260" w:lineRule="auto"/>
        <w:tabs>
          <w:tab w:leader="none" w:pos="284"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141" w:lineRule="exact"/>
        <w:rPr>
          <w:rFonts w:ascii="Arial" w:cs="Arial" w:eastAsia="Arial" w:hAnsi="Arial"/>
          <w:sz w:val="16"/>
          <w:szCs w:val="16"/>
          <w:color w:val="0063A6"/>
        </w:rPr>
      </w:pPr>
    </w:p>
    <w:p>
      <w:pPr>
        <w:ind w:left="284" w:right="360" w:hanging="284"/>
        <w:spacing w:after="0" w:line="260" w:lineRule="auto"/>
        <w:tabs>
          <w:tab w:leader="none" w:pos="284"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32 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4"/>
          </w:cols>
          <w:pgMar w:left="1156" w:top="265" w:right="1259" w:bottom="1440" w:gutter="0" w:footer="0" w:header="0"/>
          <w:type w:val="continuous"/>
        </w:sectPr>
      </w:pPr>
    </w:p>
    <w:bookmarkStart w:id="36" w:name="page37"/>
    <w:bookmarkEnd w:id="3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84" w:right="100" w:hanging="284"/>
        <w:spacing w:after="0" w:line="260" w:lineRule="auto"/>
        <w:tabs>
          <w:tab w:leader="none" w:pos="284" w:val="left"/>
        </w:tabs>
        <w:numPr>
          <w:ilvl w:val="0"/>
          <w:numId w:val="40"/>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Pay-for-Performance</w:t>
      </w:r>
    </w:p>
    <w:p>
      <w:pPr>
        <w:spacing w:after="0" w:line="66"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48" w:lineRule="exact"/>
        <w:rPr>
          <w:sz w:val="20"/>
          <w:szCs w:val="20"/>
          <w:color w:val="auto"/>
        </w:rPr>
      </w:pPr>
    </w:p>
    <w:p>
      <w:pPr>
        <w:ind w:left="4" w:right="740"/>
        <w:spacing w:after="0" w:line="260" w:lineRule="auto"/>
        <w:rPr>
          <w:sz w:val="20"/>
          <w:szCs w:val="20"/>
          <w:color w:val="auto"/>
        </w:rPr>
      </w:pPr>
      <w:r>
        <w:rPr>
          <w:rFonts w:ascii="Arial" w:cs="Arial" w:eastAsia="Arial" w:hAnsi="Arial"/>
          <w:sz w:val="16"/>
          <w:szCs w:val="16"/>
          <w:color w:val="auto"/>
        </w:rPr>
        <w:t>We emphasize variable compensation that appropriately rewards our executive officers through two separate compensation elements:</w:t>
      </w:r>
    </w:p>
    <w:p>
      <w:pPr>
        <w:spacing w:after="0" w:line="141" w:lineRule="exact"/>
        <w:rPr>
          <w:sz w:val="20"/>
          <w:szCs w:val="20"/>
          <w:color w:val="auto"/>
        </w:rPr>
      </w:pPr>
    </w:p>
    <w:p>
      <w:pPr>
        <w:ind w:left="284" w:right="280" w:hanging="284"/>
        <w:spacing w:after="0" w:line="260" w:lineRule="auto"/>
        <w:tabs>
          <w:tab w:leader="none" w:pos="284"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and/or strategic results that meet or exceed the objectives set forth in our annual operating plan.</w:t>
      </w:r>
    </w:p>
    <w:p>
      <w:pPr>
        <w:spacing w:after="0" w:line="141" w:lineRule="exact"/>
        <w:rPr>
          <w:rFonts w:ascii="Arial" w:cs="Arial" w:eastAsia="Arial" w:hAnsi="Arial"/>
          <w:sz w:val="16"/>
          <w:szCs w:val="16"/>
          <w:color w:val="0063A6"/>
        </w:rPr>
      </w:pPr>
    </w:p>
    <w:p>
      <w:pPr>
        <w:ind w:left="284" w:right="300" w:hanging="284"/>
        <w:spacing w:after="0" w:line="253" w:lineRule="auto"/>
        <w:tabs>
          <w:tab w:leader="none" w:pos="284"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47"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47" w:lineRule="exact"/>
        <w:rPr>
          <w:sz w:val="20"/>
          <w:szCs w:val="20"/>
          <w:color w:val="auto"/>
        </w:rPr>
      </w:pPr>
    </w:p>
    <w:p>
      <w:pPr>
        <w:ind w:left="4" w:right="400"/>
        <w:spacing w:after="0" w:line="253"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Compensation-Setting Process</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Talent and Compensation Committee and the Stock Committee</w:t>
      </w:r>
    </w:p>
    <w:p>
      <w:pPr>
        <w:spacing w:after="0" w:line="66"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48" w:lineRule="exact"/>
        <w:rPr>
          <w:sz w:val="20"/>
          <w:szCs w:val="20"/>
          <w:color w:val="auto"/>
        </w:rPr>
      </w:pPr>
    </w:p>
    <w:p>
      <w:pPr>
        <w:ind w:left="4" w:right="120"/>
        <w:spacing w:after="0" w:line="260" w:lineRule="auto"/>
        <w:rPr>
          <w:sz w:val="20"/>
          <w:szCs w:val="20"/>
          <w:color w:val="auto"/>
        </w:rPr>
      </w:pPr>
      <w:r>
        <w:rPr>
          <w:rFonts w:ascii="Arial" w:cs="Arial" w:eastAsia="Arial" w:hAnsi="Arial"/>
          <w:sz w:val="16"/>
          <w:szCs w:val="16"/>
          <w:color w:val="auto"/>
        </w:rPr>
        <w:t>The talent and compensation committee makes all final decisions regarding the compensation of our Chief Executive Officer and our other executive officers.</w:t>
      </w:r>
    </w:p>
    <w:p>
      <w:pPr>
        <w:spacing w:after="0" w:line="141"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48" w:lineRule="exact"/>
        <w:rPr>
          <w:sz w:val="20"/>
          <w:szCs w:val="20"/>
          <w:color w:val="auto"/>
        </w:rPr>
      </w:pPr>
    </w:p>
    <w:p>
      <w:pPr>
        <w:jc w:val="both"/>
        <w:ind w:left="4" w:right="120"/>
        <w:spacing w:after="0" w:line="260" w:lineRule="auto"/>
        <w:rPr>
          <w:sz w:val="20"/>
          <w:szCs w:val="20"/>
          <w:color w:val="auto"/>
        </w:rPr>
      </w:pPr>
      <w:r>
        <w:rPr>
          <w:rFonts w:ascii="Arial" w:cs="Arial" w:eastAsia="Arial" w:hAnsi="Arial"/>
          <w:sz w:val="16"/>
          <w:szCs w:val="16"/>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41" w:lineRule="exact"/>
        <w:rPr>
          <w:sz w:val="20"/>
          <w:szCs w:val="20"/>
          <w:color w:val="auto"/>
        </w:rPr>
      </w:pPr>
    </w:p>
    <w:p>
      <w:pPr>
        <w:ind w:left="4" w:right="60"/>
        <w:spacing w:after="0" w:line="246"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talent and compensation committee. The stock committee has authority to grant equity awards to</w:t>
      </w:r>
    </w:p>
    <w:p>
      <w:pPr>
        <w:spacing w:after="0" w:line="1" w:lineRule="exact"/>
        <w:rPr>
          <w:sz w:val="20"/>
          <w:szCs w:val="20"/>
          <w:color w:val="auto"/>
        </w:rPr>
      </w:pPr>
    </w:p>
    <w:p>
      <w:pPr>
        <w:ind w:left="4" w:right="320" w:hanging="4"/>
        <w:spacing w:after="0" w:line="260" w:lineRule="auto"/>
        <w:tabs>
          <w:tab w:leader="none" w:pos="2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employees who are not executive officers and (b) consultants subject to certain limitations established from time to time by the talent and compensation committee.</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Compensation Consultant</w:t>
      </w:r>
    </w:p>
    <w:p>
      <w:pPr>
        <w:spacing w:after="0" w:line="52"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The talent and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w:t>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37" w:name="page38"/>
    <w:bookmarkEnd w:id="37"/>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right="200"/>
        <w:spacing w:after="0" w:line="253" w:lineRule="auto"/>
        <w:rPr>
          <w:sz w:val="20"/>
          <w:szCs w:val="20"/>
          <w:color w:val="auto"/>
        </w:rPr>
      </w:pPr>
      <w:r>
        <w:rPr>
          <w:rFonts w:ascii="Arial" w:cs="Arial" w:eastAsia="Arial" w:hAnsi="Arial"/>
          <w:sz w:val="16"/>
          <w:szCs w:val="16"/>
          <w:color w:val="auto"/>
        </w:rPr>
        <w:t>For 2022, the talent and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During 2022, Compensia attended talent and compensation committee meetings and provided the following services:</w:t>
      </w:r>
    </w:p>
    <w:p>
      <w:pPr>
        <w:spacing w:after="0" w:line="167" w:lineRule="exact"/>
        <w:rPr>
          <w:sz w:val="20"/>
          <w:szCs w:val="20"/>
          <w:color w:val="auto"/>
        </w:rPr>
      </w:pPr>
    </w:p>
    <w:p>
      <w:pPr>
        <w:ind w:left="284" w:right="240" w:hanging="284"/>
        <w:spacing w:after="0" w:line="260"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Consulted with the talent and compensation committee chair and other members between talent and compensation committee meetings;</w:t>
      </w:r>
    </w:p>
    <w:p>
      <w:pPr>
        <w:spacing w:after="0" w:line="141" w:lineRule="exact"/>
        <w:rPr>
          <w:rFonts w:ascii="Arial" w:cs="Arial" w:eastAsia="Arial" w:hAnsi="Arial"/>
          <w:sz w:val="16"/>
          <w:szCs w:val="16"/>
          <w:color w:val="0063A6"/>
        </w:rPr>
      </w:pPr>
    </w:p>
    <w:p>
      <w:pPr>
        <w:ind w:left="284" w:right="280" w:hanging="284"/>
        <w:spacing w:after="0" w:line="253"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47" w:lineRule="exact"/>
        <w:rPr>
          <w:rFonts w:ascii="Arial" w:cs="Arial" w:eastAsia="Arial" w:hAnsi="Arial"/>
          <w:sz w:val="16"/>
          <w:szCs w:val="16"/>
          <w:color w:val="0063A6"/>
        </w:rPr>
      </w:pPr>
    </w:p>
    <w:p>
      <w:pPr>
        <w:ind w:left="284" w:right="100" w:hanging="284"/>
        <w:spacing w:after="0" w:line="260"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141" w:lineRule="exact"/>
        <w:rPr>
          <w:rFonts w:ascii="Arial" w:cs="Arial" w:eastAsia="Arial" w:hAnsi="Arial"/>
          <w:sz w:val="16"/>
          <w:szCs w:val="16"/>
          <w:color w:val="0063A6"/>
        </w:rPr>
      </w:pPr>
    </w:p>
    <w:p>
      <w:pPr>
        <w:ind w:left="284" w:right="200" w:hanging="284"/>
        <w:spacing w:after="0" w:line="260"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incentive bonus opportunities, and long-term equity incentive compensation opportunities of our executive officers;</w:t>
      </w:r>
    </w:p>
    <w:p>
      <w:pPr>
        <w:spacing w:after="0" w:line="141" w:lineRule="exact"/>
        <w:rPr>
          <w:rFonts w:ascii="Arial" w:cs="Arial" w:eastAsia="Arial" w:hAnsi="Arial"/>
          <w:sz w:val="16"/>
          <w:szCs w:val="16"/>
          <w:color w:val="0063A6"/>
        </w:rPr>
      </w:pPr>
    </w:p>
    <w:p>
      <w:pPr>
        <w:ind w:left="284" w:right="240" w:hanging="284"/>
        <w:spacing w:after="0" w:line="260"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updates on corporate governance and regulatory issues and developments;</w:t>
      </w:r>
    </w:p>
    <w:p>
      <w:pPr>
        <w:spacing w:after="0" w:line="141" w:lineRule="exact"/>
        <w:rPr>
          <w:rFonts w:ascii="Arial" w:cs="Arial" w:eastAsia="Arial" w:hAnsi="Arial"/>
          <w:sz w:val="16"/>
          <w:szCs w:val="16"/>
          <w:color w:val="0063A6"/>
        </w:rPr>
      </w:pPr>
    </w:p>
    <w:p>
      <w:pPr>
        <w:ind w:left="284" w:hanging="284"/>
        <w:spacing w:after="0"/>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284" w:right="500" w:hanging="284"/>
        <w:spacing w:after="0" w:line="260" w:lineRule="auto"/>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25" w:lineRule="exact"/>
        <w:rPr>
          <w:rFonts w:ascii="Arial" w:cs="Arial" w:eastAsia="Arial" w:hAnsi="Arial"/>
          <w:sz w:val="16"/>
          <w:szCs w:val="16"/>
          <w:color w:val="0063A6"/>
        </w:rPr>
      </w:pPr>
    </w:p>
    <w:p>
      <w:pPr>
        <w:ind w:left="284" w:hanging="284"/>
        <w:spacing w:after="0"/>
        <w:tabs>
          <w:tab w:leader="none" w:pos="284" w:val="left"/>
        </w:tabs>
        <w:numPr>
          <w:ilvl w:val="0"/>
          <w:numId w:val="43"/>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Compensia did not provide any services to us other than the consulting services to the talent and compensation committee. The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talent and compensation committee regularly reviews the objectivity and independence of the advice provided by its compensation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consultant on executive compensation matters. The talent and compensation committee has evaluated Compensia’s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engagement, and based on the six factors for assessing independence and identifying potential conflicts of interest that are set forth</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Rule 10C-1(b)(4) of the Exchange Act, Rule 5605(d)(3)(D) of the Nasdaq Marketplace Rules, and such other factors as were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deemed relevant under the circumstances, has determined that its relationship with Compensia and the work of Compensia on behalf</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talent and compensation committee did not raise any conflict of interest, and that Compensia is independent as defined in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Rule 5605(a)(2) of the Nasdaq Marketplace Rules.</w:t>
      </w:r>
    </w:p>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Role of Management</w:t>
      </w:r>
    </w:p>
    <w:p>
      <w:pPr>
        <w:spacing w:after="0" w:line="66"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47"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54" w:lineRule="exact"/>
        <w:rPr>
          <w:sz w:val="20"/>
          <w:szCs w:val="20"/>
          <w:color w:val="auto"/>
        </w:rPr>
      </w:pPr>
    </w:p>
    <w:p>
      <w:pPr>
        <w:ind w:left="4" w:right="400"/>
        <w:spacing w:after="0" w:line="260" w:lineRule="auto"/>
        <w:rPr>
          <w:sz w:val="20"/>
          <w:szCs w:val="20"/>
          <w:color w:val="auto"/>
        </w:rPr>
      </w:pPr>
      <w:r>
        <w:rPr>
          <w:rFonts w:ascii="Arial" w:cs="Arial" w:eastAsia="Arial" w:hAnsi="Arial"/>
          <w:sz w:val="16"/>
          <w:szCs w:val="16"/>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34 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8" w:name="page39"/>
    <w:bookmarkEnd w:id="38"/>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right="200"/>
        <w:spacing w:after="0" w:line="251" w:lineRule="auto"/>
        <w:rPr>
          <w:sz w:val="20"/>
          <w:szCs w:val="20"/>
          <w:color w:val="auto"/>
        </w:rPr>
      </w:pPr>
      <w:r>
        <w:rPr>
          <w:rFonts w:ascii="Arial" w:cs="Arial" w:eastAsia="Arial" w:hAnsi="Arial"/>
          <w:sz w:val="16"/>
          <w:szCs w:val="16"/>
          <w:color w:val="auto"/>
        </w:rPr>
        <w:t>Our Chief Executive Officer also attends meetings of our board of directors and the talent and compensation committee at which executive compensation matters are addressed, except with respect to discussions involving his own compensation. Decisions with respect to our Chief Executive Officer’s compensation are made by our talent and compensation committee, which is comprised entirely of independent members of our board of directors.</w:t>
      </w:r>
    </w:p>
    <w:p>
      <w:pPr>
        <w:spacing w:after="0" w:line="3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Competitive Positioning</w:t>
      </w:r>
    </w:p>
    <w:p>
      <w:pPr>
        <w:spacing w:after="0" w:line="66"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48" w:lineRule="exact"/>
        <w:rPr>
          <w:sz w:val="20"/>
          <w:szCs w:val="20"/>
          <w:color w:val="auto"/>
        </w:rPr>
      </w:pPr>
    </w:p>
    <w:p>
      <w:pPr>
        <w:ind w:left="4" w:right="480"/>
        <w:spacing w:after="0" w:line="260" w:lineRule="auto"/>
        <w:rPr>
          <w:sz w:val="20"/>
          <w:szCs w:val="20"/>
          <w:color w:val="auto"/>
        </w:rPr>
      </w:pPr>
      <w:r>
        <w:rPr>
          <w:rFonts w:ascii="Arial" w:cs="Arial" w:eastAsia="Arial" w:hAnsi="Arial"/>
          <w:sz w:val="16"/>
          <w:szCs w:val="16"/>
          <w:color w:val="auto"/>
        </w:rPr>
        <w:t>The companies in the compensation peer group for 2022 were approved in August 2021 on the basis of their similarity to us, as determined using the following criteria, each as of June 2021:</w:t>
      </w:r>
    </w:p>
    <w:p>
      <w:pPr>
        <w:spacing w:after="0" w:line="121" w:lineRule="exact"/>
        <w:rPr>
          <w:sz w:val="20"/>
          <w:szCs w:val="20"/>
          <w:color w:val="auto"/>
        </w:rPr>
      </w:pPr>
    </w:p>
    <w:p>
      <w:pPr>
        <w:ind w:left="284" w:right="1000" w:hanging="284"/>
        <w:spacing w:after="0" w:line="286" w:lineRule="auto"/>
        <w:tabs>
          <w:tab w:leader="none" w:pos="284" w:val="left"/>
        </w:tabs>
        <w:numPr>
          <w:ilvl w:val="0"/>
          <w:numId w:val="44"/>
        </w:numPr>
        <w:rPr>
          <w:rFonts w:ascii="Arial" w:cs="Arial" w:eastAsia="Arial" w:hAnsi="Arial"/>
          <w:sz w:val="16"/>
          <w:szCs w:val="16"/>
          <w:color w:val="0063A6"/>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approximately 0.4x to approximately 2.5x our last four fiscal quarter revenue of approximately $2.0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$788 million to $4.9 billion);</w:t>
      </w:r>
    </w:p>
    <w:p>
      <w:pPr>
        <w:spacing w:after="0" w:line="101" w:lineRule="exact"/>
        <w:rPr>
          <w:rFonts w:ascii="Arial" w:cs="Arial" w:eastAsia="Arial" w:hAnsi="Arial"/>
          <w:sz w:val="16"/>
          <w:szCs w:val="16"/>
          <w:color w:val="0063A6"/>
        </w:rPr>
      </w:pPr>
    </w:p>
    <w:p>
      <w:pPr>
        <w:ind w:left="284" w:right="680" w:hanging="284"/>
        <w:spacing w:after="0" w:line="286" w:lineRule="auto"/>
        <w:tabs>
          <w:tab w:leader="none" w:pos="284" w:val="left"/>
        </w:tabs>
        <w:numPr>
          <w:ilvl w:val="0"/>
          <w:numId w:val="44"/>
        </w:numPr>
        <w:rPr>
          <w:rFonts w:ascii="Arial" w:cs="Arial" w:eastAsia="Arial" w:hAnsi="Arial"/>
          <w:sz w:val="16"/>
          <w:szCs w:val="16"/>
          <w:color w:val="0063A6"/>
        </w:rPr>
      </w:pPr>
      <w:r>
        <w:rPr>
          <w:rFonts w:ascii="Arial" w:cs="Arial" w:eastAsia="Arial" w:hAnsi="Arial"/>
          <w:sz w:val="16"/>
          <w:szCs w:val="16"/>
          <w:b w:val="1"/>
          <w:bCs w:val="1"/>
          <w:color w:val="auto"/>
        </w:rPr>
        <w:t xml:space="preserve">market capitalization </w:t>
      </w:r>
      <w:r>
        <w:rPr>
          <w:rFonts w:ascii="Arial" w:cs="Arial" w:eastAsia="Arial" w:hAnsi="Arial"/>
          <w:sz w:val="16"/>
          <w:szCs w:val="16"/>
          <w:color w:val="auto"/>
        </w:rPr>
        <w:t>– approximately 0.25x to approximately 4.0x our market capitalization of approximately $11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$2.8 billion to $44 billion);</w:t>
      </w:r>
    </w:p>
    <w:p>
      <w:pPr>
        <w:spacing w:after="0" w:line="101" w:lineRule="exact"/>
        <w:rPr>
          <w:rFonts w:ascii="Arial" w:cs="Arial" w:eastAsia="Arial" w:hAnsi="Arial"/>
          <w:sz w:val="16"/>
          <w:szCs w:val="16"/>
          <w:color w:val="0063A6"/>
        </w:rPr>
      </w:pPr>
    </w:p>
    <w:p>
      <w:pPr>
        <w:ind w:left="284" w:right="680" w:hanging="284"/>
        <w:spacing w:after="0" w:line="286" w:lineRule="auto"/>
        <w:tabs>
          <w:tab w:leader="none" w:pos="284" w:val="left"/>
        </w:tabs>
        <w:numPr>
          <w:ilvl w:val="0"/>
          <w:numId w:val="44"/>
        </w:numPr>
        <w:rPr>
          <w:rFonts w:ascii="Arial" w:cs="Arial" w:eastAsia="Arial" w:hAnsi="Arial"/>
          <w:sz w:val="16"/>
          <w:szCs w:val="16"/>
          <w:color w:val="0063A6"/>
        </w:rPr>
      </w:pPr>
      <w:r>
        <w:rPr>
          <w:rFonts w:ascii="Arial" w:cs="Arial" w:eastAsia="Arial" w:hAnsi="Arial"/>
          <w:sz w:val="16"/>
          <w:szCs w:val="16"/>
          <w:b w:val="1"/>
          <w:bCs w:val="1"/>
          <w:color w:val="auto"/>
        </w:rPr>
        <w:t xml:space="preserve">industry sector </w:t>
      </w:r>
      <w:r>
        <w:rPr>
          <w:rFonts w:ascii="Arial" w:cs="Arial" w:eastAsia="Arial" w:hAnsi="Arial"/>
          <w:sz w:val="16"/>
          <w:szCs w:val="16"/>
          <w:color w:val="auto"/>
        </w:rPr>
        <w:t>– internet software and services, software, communication equipment, and certain SaaS companies not</w:t>
      </w:r>
      <w:r>
        <w:rPr>
          <w:rFonts w:ascii="Arial" w:cs="Arial" w:eastAsia="Arial" w:hAnsi="Arial"/>
          <w:sz w:val="16"/>
          <w:szCs w:val="16"/>
          <w:b w:val="1"/>
          <w:bCs w:val="1"/>
          <w:color w:val="auto"/>
        </w:rPr>
        <w:t xml:space="preserve"> </w:t>
      </w:r>
      <w:r>
        <w:rPr>
          <w:rFonts w:ascii="Arial" w:cs="Arial" w:eastAsia="Arial" w:hAnsi="Arial"/>
          <w:sz w:val="16"/>
          <w:szCs w:val="16"/>
          <w:color w:val="auto"/>
        </w:rPr>
        <w:t>classified as such; and</w:t>
      </w:r>
    </w:p>
    <w:p>
      <w:pPr>
        <w:spacing w:after="0" w:line="101" w:lineRule="exact"/>
        <w:rPr>
          <w:rFonts w:ascii="Arial" w:cs="Arial" w:eastAsia="Arial" w:hAnsi="Arial"/>
          <w:sz w:val="16"/>
          <w:szCs w:val="16"/>
          <w:color w:val="0063A6"/>
        </w:rPr>
      </w:pPr>
    </w:p>
    <w:p>
      <w:pPr>
        <w:ind w:left="284" w:hanging="284"/>
        <w:spacing w:after="0"/>
        <w:tabs>
          <w:tab w:leader="none" w:pos="284" w:val="left"/>
        </w:tabs>
        <w:numPr>
          <w:ilvl w:val="0"/>
          <w:numId w:val="44"/>
        </w:numPr>
        <w:rPr>
          <w:rFonts w:ascii="Arial" w:cs="Arial" w:eastAsia="Arial" w:hAnsi="Arial"/>
          <w:sz w:val="16"/>
          <w:szCs w:val="16"/>
          <w:color w:val="0063A6"/>
        </w:rPr>
      </w:pPr>
      <w:r>
        <w:rPr>
          <w:rFonts w:ascii="Arial" w:cs="Arial" w:eastAsia="Arial" w:hAnsi="Arial"/>
          <w:sz w:val="16"/>
          <w:szCs w:val="16"/>
          <w:b w:val="1"/>
          <w:bCs w:val="1"/>
          <w:color w:val="auto"/>
        </w:rPr>
        <w:t xml:space="preserve">relevance </w:t>
      </w:r>
      <w:r>
        <w:rPr>
          <w:rFonts w:ascii="Arial" w:cs="Arial" w:eastAsia="Arial" w:hAnsi="Arial"/>
          <w:sz w:val="16"/>
          <w:szCs w:val="16"/>
          <w:color w:val="auto"/>
        </w:rPr>
        <w:t>– software-as-a-service model or product similarity.</w:t>
      </w:r>
    </w:p>
    <w:p>
      <w:pPr>
        <w:spacing w:after="0" w:line="187" w:lineRule="exact"/>
        <w:rPr>
          <w:sz w:val="20"/>
          <w:szCs w:val="20"/>
          <w:color w:val="auto"/>
        </w:rPr>
      </w:pPr>
    </w:p>
    <w:p>
      <w:pPr>
        <w:ind w:left="4" w:right="320"/>
        <w:spacing w:after="0" w:line="260" w:lineRule="auto"/>
        <w:rPr>
          <w:sz w:val="20"/>
          <w:szCs w:val="20"/>
          <w:color w:val="auto"/>
        </w:rPr>
      </w:pPr>
      <w:r>
        <w:rPr>
          <w:rFonts w:ascii="Arial" w:cs="Arial" w:eastAsia="Arial" w:hAnsi="Arial"/>
          <w:sz w:val="16"/>
          <w:szCs w:val="16"/>
          <w:color w:val="auto"/>
        </w:rPr>
        <w:t>In selecting the 2022 compensation peer group, we chose companies that resulted in us being near the median of the group as of August 2021,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077585" cy="3214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7585" cy="3214370"/>
                    </a:xfrm>
                    <a:prstGeom prst="rect">
                      <a:avLst/>
                    </a:prstGeom>
                    <a:noFill/>
                  </pic:spPr>
                </pic:pic>
              </a:graphicData>
            </a:graphic>
          </wp:anchor>
        </w:drawing>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199"/>
        </w:trPr>
        <w:tc>
          <w:tcPr>
            <w:tcW w:w="22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620" w:type="dxa"/>
            <w:vAlign w:val="bottom"/>
            <w:shd w:val="clear" w:color="auto" w:fill="0063A6"/>
          </w:tcPr>
          <w:p>
            <w:pPr>
              <w:ind w:left="240"/>
              <w:spacing w:after="0"/>
              <w:rPr>
                <w:sz w:val="20"/>
                <w:szCs w:val="20"/>
                <w:color w:val="auto"/>
              </w:rPr>
            </w:pPr>
            <w:r>
              <w:rPr>
                <w:rFonts w:ascii="Arial" w:cs="Arial" w:eastAsia="Arial" w:hAnsi="Arial"/>
                <w:sz w:val="14"/>
                <w:szCs w:val="14"/>
                <w:b w:val="1"/>
                <w:bCs w:val="1"/>
                <w:color w:val="FFFFFF"/>
              </w:rPr>
              <w:t>2021 Compensation Peer Group</w:t>
            </w:r>
          </w:p>
        </w:tc>
        <w:tc>
          <w:tcPr>
            <w:tcW w:w="740" w:type="dxa"/>
            <w:vAlign w:val="bottom"/>
            <w:shd w:val="clear" w:color="auto" w:fill="0063A6"/>
          </w:tcPr>
          <w:p>
            <w:pPr>
              <w:ind w:left="20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340" w:type="dxa"/>
            <w:vAlign w:val="bottom"/>
            <w:shd w:val="clear" w:color="auto" w:fill="0063A6"/>
          </w:tcPr>
          <w:p>
            <w:pPr>
              <w:ind w:left="380"/>
              <w:spacing w:after="0"/>
              <w:rPr>
                <w:sz w:val="20"/>
                <w:szCs w:val="20"/>
                <w:color w:val="auto"/>
              </w:rPr>
            </w:pPr>
            <w:r>
              <w:rPr>
                <w:rFonts w:ascii="Arial" w:cs="Arial" w:eastAsia="Arial" w:hAnsi="Arial"/>
                <w:sz w:val="14"/>
                <w:szCs w:val="14"/>
                <w:b w:val="1"/>
                <w:bCs w:val="1"/>
                <w:color w:val="FFFFFF"/>
              </w:rPr>
              <w:t>Changes to Peer Group</w:t>
            </w:r>
          </w:p>
        </w:tc>
        <w:tc>
          <w:tcPr>
            <w:tcW w:w="740" w:type="dxa"/>
            <w:vAlign w:val="bottom"/>
            <w:shd w:val="clear" w:color="auto" w:fill="0063A6"/>
          </w:tcPr>
          <w:p>
            <w:pPr>
              <w:ind w:left="36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640" w:type="dxa"/>
            <w:vAlign w:val="bottom"/>
            <w:shd w:val="clear" w:color="auto" w:fill="0063A6"/>
          </w:tcPr>
          <w:p>
            <w:pPr>
              <w:ind w:left="260"/>
              <w:spacing w:after="0"/>
              <w:rPr>
                <w:sz w:val="20"/>
                <w:szCs w:val="20"/>
                <w:color w:val="auto"/>
              </w:rPr>
            </w:pPr>
            <w:r>
              <w:rPr>
                <w:rFonts w:ascii="Arial" w:cs="Arial" w:eastAsia="Arial" w:hAnsi="Arial"/>
                <w:sz w:val="14"/>
                <w:szCs w:val="14"/>
                <w:b w:val="1"/>
                <w:bCs w:val="1"/>
                <w:color w:val="FFFFFF"/>
              </w:rPr>
              <w:t>2022 Compensation Peer Group</w:t>
            </w:r>
          </w:p>
        </w:tc>
        <w:tc>
          <w:tcPr>
            <w:tcW w:w="260" w:type="dxa"/>
            <w:vAlign w:val="bottom"/>
            <w:shd w:val="clear" w:color="auto" w:fill="0063A6"/>
          </w:tcPr>
          <w:p>
            <w:pPr>
              <w:ind w:left="220"/>
              <w:spacing w:after="0"/>
              <w:rPr>
                <w:sz w:val="20"/>
                <w:szCs w:val="20"/>
                <w:color w:val="auto"/>
              </w:rPr>
            </w:pPr>
            <w:r>
              <w:rPr>
                <w:rFonts w:ascii="Arial" w:cs="Arial" w:eastAsia="Arial" w:hAnsi="Arial"/>
                <w:sz w:val="4"/>
                <w:szCs w:val="4"/>
                <w:color w:val="auto"/>
              </w:rPr>
              <w:t>​</w:t>
            </w:r>
          </w:p>
        </w:tc>
      </w:tr>
      <w:tr>
        <w:trPr>
          <w:trHeight w:val="125"/>
        </w:trPr>
        <w:tc>
          <w:tcPr>
            <w:tcW w:w="220" w:type="dxa"/>
            <w:vAlign w:val="bottom"/>
            <w:shd w:val="clear" w:color="auto" w:fill="0063A6"/>
          </w:tcPr>
          <w:p>
            <w:pPr>
              <w:spacing w:after="0"/>
              <w:rPr>
                <w:sz w:val="10"/>
                <w:szCs w:val="10"/>
                <w:color w:val="auto"/>
              </w:rPr>
            </w:pPr>
          </w:p>
        </w:tc>
        <w:tc>
          <w:tcPr>
            <w:tcW w:w="2620" w:type="dxa"/>
            <w:vAlign w:val="bottom"/>
            <w:shd w:val="clear" w:color="auto" w:fill="0063A6"/>
          </w:tcPr>
          <w:p>
            <w:pPr>
              <w:spacing w:after="0"/>
              <w:rPr>
                <w:sz w:val="10"/>
                <w:szCs w:val="10"/>
                <w:color w:val="auto"/>
              </w:rPr>
            </w:pPr>
          </w:p>
        </w:tc>
        <w:tc>
          <w:tcPr>
            <w:tcW w:w="740" w:type="dxa"/>
            <w:vAlign w:val="bottom"/>
            <w:shd w:val="clear" w:color="auto" w:fill="0063A6"/>
          </w:tcPr>
          <w:p>
            <w:pPr>
              <w:spacing w:after="0"/>
              <w:rPr>
                <w:sz w:val="10"/>
                <w:szCs w:val="10"/>
                <w:color w:val="auto"/>
              </w:rPr>
            </w:pPr>
          </w:p>
        </w:tc>
        <w:tc>
          <w:tcPr>
            <w:tcW w:w="2340" w:type="dxa"/>
            <w:vAlign w:val="bottom"/>
            <w:shd w:val="clear" w:color="auto" w:fill="0063A6"/>
          </w:tcPr>
          <w:p>
            <w:pPr>
              <w:spacing w:after="0"/>
              <w:rPr>
                <w:sz w:val="10"/>
                <w:szCs w:val="10"/>
                <w:color w:val="auto"/>
              </w:rPr>
            </w:pPr>
          </w:p>
        </w:tc>
        <w:tc>
          <w:tcPr>
            <w:tcW w:w="740" w:type="dxa"/>
            <w:vAlign w:val="bottom"/>
            <w:shd w:val="clear" w:color="auto" w:fill="0063A6"/>
          </w:tcPr>
          <w:p>
            <w:pPr>
              <w:spacing w:after="0"/>
              <w:rPr>
                <w:sz w:val="10"/>
                <w:szCs w:val="10"/>
                <w:color w:val="auto"/>
              </w:rPr>
            </w:pPr>
          </w:p>
        </w:tc>
        <w:tc>
          <w:tcPr>
            <w:tcW w:w="2640" w:type="dxa"/>
            <w:vAlign w:val="bottom"/>
            <w:shd w:val="clear" w:color="auto" w:fill="0063A6"/>
          </w:tcPr>
          <w:p>
            <w:pPr>
              <w:spacing w:after="0"/>
              <w:rPr>
                <w:sz w:val="10"/>
                <w:szCs w:val="10"/>
                <w:color w:val="auto"/>
              </w:rPr>
            </w:pPr>
          </w:p>
        </w:tc>
        <w:tc>
          <w:tcPr>
            <w:tcW w:w="260" w:type="dxa"/>
            <w:vAlign w:val="bottom"/>
            <w:shd w:val="clear" w:color="auto" w:fill="0063A6"/>
          </w:tcPr>
          <w:p>
            <w:pPr>
              <w:spacing w:after="0"/>
              <w:rPr>
                <w:sz w:val="10"/>
                <w:szCs w:val="10"/>
                <w:color w:val="auto"/>
              </w:rPr>
            </w:pP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58"/>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Box</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Box</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9"/>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Citrix Systems</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97"/>
              </w:rPr>
              <w:t>Added:</w:t>
            </w: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Citrix Systems</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8"/>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Cloudera</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GoDaddy</w:t>
            </w: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Cloudera</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9"/>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8"/>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DocuSign</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jc w:val="center"/>
              <w:spacing w:after="0" w:line="148" w:lineRule="exact"/>
              <w:rPr>
                <w:sz w:val="20"/>
                <w:szCs w:val="20"/>
                <w:color w:val="auto"/>
              </w:rPr>
            </w:pPr>
            <w:r>
              <w:rPr>
                <w:rFonts w:ascii="Arial" w:cs="Arial" w:eastAsia="Arial" w:hAnsi="Arial"/>
                <w:sz w:val="16"/>
                <w:szCs w:val="16"/>
                <w:color w:val="auto"/>
              </w:rPr>
              <w:t>Pinterest</w:t>
            </w: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DocuSign</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Fortinet</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Fortinet</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9"/>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LogMeIn</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spacing w:after="0"/>
              <w:rPr>
                <w:sz w:val="13"/>
                <w:szCs w:val="13"/>
                <w:color w:val="auto"/>
              </w:rPr>
            </w:pP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GoDaddy</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8"/>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Nutanix</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Nutanix</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9"/>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8"/>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Okta</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spacing w:after="0"/>
              <w:rPr>
                <w:sz w:val="13"/>
                <w:szCs w:val="13"/>
                <w:color w:val="auto"/>
              </w:rPr>
            </w:pP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Okta</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Palo Alto Networks</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b w:val="1"/>
                <w:bCs w:val="1"/>
                <w:color w:val="auto"/>
              </w:rPr>
              <w:t>Removed:</w:t>
            </w: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Palo Alto Networks</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9"/>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Proofpoint</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jc w:val="center"/>
              <w:spacing w:after="0" w:line="148" w:lineRule="exact"/>
              <w:rPr>
                <w:sz w:val="20"/>
                <w:szCs w:val="20"/>
                <w:color w:val="auto"/>
              </w:rPr>
            </w:pPr>
            <w:r>
              <w:rPr>
                <w:rFonts w:ascii="Arial" w:cs="Arial" w:eastAsia="Arial" w:hAnsi="Arial"/>
                <w:sz w:val="16"/>
                <w:szCs w:val="16"/>
                <w:color w:val="auto"/>
                <w:w w:val="99"/>
              </w:rPr>
              <w:t>LogMeIn</w:t>
            </w: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Pinterest</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8"/>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Pure Storage</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Proofpoint</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9"/>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8"/>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RingCentral</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spacing w:after="0"/>
              <w:rPr>
                <w:sz w:val="13"/>
                <w:szCs w:val="13"/>
                <w:color w:val="auto"/>
              </w:rPr>
            </w:pP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Pure Storage</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w w:val="99"/>
              </w:rPr>
              <w:t>Slack Technologies</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RingCentral</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9"/>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jc w:val="center"/>
              <w:spacing w:after="0" w:line="148" w:lineRule="exact"/>
              <w:rPr>
                <w:sz w:val="20"/>
                <w:szCs w:val="20"/>
                <w:color w:val="auto"/>
              </w:rPr>
            </w:pPr>
            <w:r>
              <w:rPr>
                <w:rFonts w:ascii="Arial" w:cs="Arial" w:eastAsia="Arial" w:hAnsi="Arial"/>
                <w:sz w:val="16"/>
                <w:szCs w:val="16"/>
                <w:color w:val="auto"/>
              </w:rPr>
              <w:t>Splunk</w:t>
            </w: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spacing w:after="0"/>
              <w:rPr>
                <w:sz w:val="13"/>
                <w:szCs w:val="13"/>
                <w:color w:val="auto"/>
              </w:rPr>
            </w:pP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w w:val="99"/>
              </w:rPr>
              <w:t>Slack Technologies</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r>
        <w:trPr>
          <w:trHeight w:val="138"/>
        </w:trPr>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8"/>
        </w:trPr>
        <w:tc>
          <w:tcPr>
            <w:tcW w:w="4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2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Zendesk</w:t>
            </w:r>
          </w:p>
        </w:tc>
        <w:tc>
          <w:tcPr>
            <w:tcW w:w="480" w:type="dxa"/>
            <w:vAlign w:val="bottom"/>
            <w:shd w:val="clear" w:color="auto" w:fill="F2F2F2"/>
          </w:tcPr>
          <w:p>
            <w:pPr>
              <w:ind w:left="40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940" w:type="dxa"/>
            <w:vAlign w:val="bottom"/>
            <w:shd w:val="clear" w:color="auto" w:fill="F2F2F2"/>
          </w:tcPr>
          <w:p>
            <w:pPr>
              <w:spacing w:after="0"/>
              <w:rPr>
                <w:sz w:val="13"/>
                <w:szCs w:val="13"/>
                <w:color w:val="auto"/>
              </w:rPr>
            </w:pPr>
          </w:p>
        </w:tc>
        <w:tc>
          <w:tcPr>
            <w:tcW w:w="620" w:type="dxa"/>
            <w:vAlign w:val="bottom"/>
            <w:shd w:val="clear" w:color="auto" w:fill="F2F2F2"/>
          </w:tcPr>
          <w:p>
            <w:pPr>
              <w:ind w:left="56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240" w:type="dxa"/>
            <w:vAlign w:val="bottom"/>
            <w:shd w:val="clear" w:color="auto" w:fill="F2F2F2"/>
          </w:tcPr>
          <w:p>
            <w:pPr>
              <w:jc w:val="center"/>
              <w:spacing w:after="0" w:line="148" w:lineRule="exact"/>
              <w:rPr>
                <w:sz w:val="20"/>
                <w:szCs w:val="20"/>
                <w:color w:val="auto"/>
              </w:rPr>
            </w:pPr>
            <w:r>
              <w:rPr>
                <w:rFonts w:ascii="Arial" w:cs="Arial" w:eastAsia="Arial" w:hAnsi="Arial"/>
                <w:sz w:val="16"/>
                <w:szCs w:val="16"/>
                <w:color w:val="auto"/>
              </w:rPr>
              <w:t>Splunk</w:t>
            </w:r>
          </w:p>
        </w:tc>
        <w:tc>
          <w:tcPr>
            <w:tcW w:w="460" w:type="dxa"/>
            <w:vAlign w:val="bottom"/>
            <w:shd w:val="clear" w:color="auto" w:fill="F2F2F2"/>
          </w:tcPr>
          <w:p>
            <w:pPr>
              <w:ind w:left="420"/>
              <w:spacing w:after="0"/>
              <w:rPr>
                <w:sz w:val="20"/>
                <w:szCs w:val="20"/>
                <w:color w:val="auto"/>
              </w:rPr>
            </w:pPr>
            <w:r>
              <w:rPr>
                <w:rFonts w:ascii="Arial" w:cs="Arial" w:eastAsia="Arial" w:hAnsi="Arial"/>
                <w:sz w:val="4"/>
                <w:szCs w:val="4"/>
                <w:color w:val="auto"/>
              </w:rPr>
              <w:t>​</w:t>
            </w:r>
          </w:p>
        </w:tc>
      </w:tr>
      <w:tr>
        <w:trPr>
          <w:trHeight w:val="139"/>
        </w:trPr>
        <w:tc>
          <w:tcPr>
            <w:tcW w:w="420" w:type="dxa"/>
            <w:vAlign w:val="bottom"/>
            <w:shd w:val="clear" w:color="auto" w:fill="F2F2F2"/>
          </w:tcPr>
          <w:p>
            <w:pPr>
              <w:spacing w:after="0"/>
              <w:rPr>
                <w:sz w:val="12"/>
                <w:szCs w:val="12"/>
                <w:color w:val="auto"/>
              </w:rPr>
            </w:pPr>
          </w:p>
        </w:tc>
        <w:tc>
          <w:tcPr>
            <w:tcW w:w="222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9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224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r>
      <w:tr>
        <w:trPr>
          <w:trHeight w:val="158"/>
        </w:trPr>
        <w:tc>
          <w:tcPr>
            <w:tcW w:w="420" w:type="dxa"/>
            <w:vAlign w:val="bottom"/>
          </w:tcPr>
          <w:p>
            <w:pPr>
              <w:spacing w:after="0"/>
              <w:rPr>
                <w:sz w:val="20"/>
                <w:szCs w:val="20"/>
                <w:color w:val="auto"/>
              </w:rPr>
            </w:pPr>
            <w:r>
              <w:rPr>
                <w:rFonts w:ascii="Arial" w:cs="Arial" w:eastAsia="Arial" w:hAnsi="Arial"/>
                <w:sz w:val="4"/>
                <w:szCs w:val="4"/>
                <w:color w:val="auto"/>
              </w:rPr>
              <w:t>​</w:t>
            </w:r>
          </w:p>
        </w:tc>
        <w:tc>
          <w:tcPr>
            <w:tcW w:w="2220" w:type="dxa"/>
            <w:vAlign w:val="bottom"/>
          </w:tcPr>
          <w:p>
            <w:pPr>
              <w:spacing w:after="0"/>
              <w:rPr>
                <w:sz w:val="13"/>
                <w:szCs w:val="13"/>
                <w:color w:val="auto"/>
              </w:rPr>
            </w:pPr>
          </w:p>
        </w:tc>
        <w:tc>
          <w:tcPr>
            <w:tcW w:w="480" w:type="dxa"/>
            <w:vAlign w:val="bottom"/>
          </w:tcPr>
          <w:p>
            <w:pPr>
              <w:ind w:left="400"/>
              <w:spacing w:after="0"/>
              <w:rPr>
                <w:sz w:val="20"/>
                <w:szCs w:val="20"/>
                <w:color w:val="auto"/>
              </w:rPr>
            </w:pPr>
            <w:r>
              <w:rPr>
                <w:rFonts w:ascii="Arial" w:cs="Arial" w:eastAsia="Arial" w:hAnsi="Arial"/>
                <w:sz w:val="4"/>
                <w:szCs w:val="4"/>
                <w:color w:val="auto"/>
              </w:rPr>
              <w:t>​</w:t>
            </w:r>
          </w:p>
        </w:tc>
        <w:tc>
          <w:tcPr>
            <w:tcW w:w="660" w:type="dxa"/>
            <w:vAlign w:val="bottom"/>
          </w:tcPr>
          <w:p>
            <w:pPr>
              <w:ind w:left="60"/>
              <w:spacing w:after="0"/>
              <w:rPr>
                <w:sz w:val="20"/>
                <w:szCs w:val="20"/>
                <w:color w:val="auto"/>
              </w:rPr>
            </w:pPr>
            <w:r>
              <w:rPr>
                <w:rFonts w:ascii="Arial" w:cs="Arial" w:eastAsia="Arial" w:hAnsi="Arial"/>
                <w:sz w:val="4"/>
                <w:szCs w:val="4"/>
                <w:color w:val="auto"/>
              </w:rPr>
              <w:t>​</w:t>
            </w:r>
          </w:p>
        </w:tc>
        <w:tc>
          <w:tcPr>
            <w:tcW w:w="1940" w:type="dxa"/>
            <w:vAlign w:val="bottom"/>
          </w:tcPr>
          <w:p>
            <w:pPr>
              <w:spacing w:after="0"/>
              <w:rPr>
                <w:sz w:val="13"/>
                <w:szCs w:val="13"/>
                <w:color w:val="auto"/>
              </w:rPr>
            </w:pPr>
          </w:p>
        </w:tc>
        <w:tc>
          <w:tcPr>
            <w:tcW w:w="620" w:type="dxa"/>
            <w:vAlign w:val="bottom"/>
          </w:tcPr>
          <w:p>
            <w:pPr>
              <w:ind w:left="560"/>
              <w:spacing w:after="0"/>
              <w:rPr>
                <w:sz w:val="20"/>
                <w:szCs w:val="20"/>
                <w:color w:val="auto"/>
              </w:rPr>
            </w:pPr>
            <w:r>
              <w:rPr>
                <w:rFonts w:ascii="Arial" w:cs="Arial" w:eastAsia="Arial" w:hAnsi="Arial"/>
                <w:sz w:val="4"/>
                <w:szCs w:val="4"/>
                <w:color w:val="auto"/>
              </w:rPr>
              <w:t>​</w:t>
            </w:r>
          </w:p>
        </w:tc>
        <w:tc>
          <w:tcPr>
            <w:tcW w:w="520" w:type="dxa"/>
            <w:vAlign w:val="bottom"/>
          </w:tcPr>
          <w:p>
            <w:pPr>
              <w:ind w:left="60"/>
              <w:spacing w:after="0"/>
              <w:rPr>
                <w:sz w:val="20"/>
                <w:szCs w:val="20"/>
                <w:color w:val="auto"/>
              </w:rPr>
            </w:pPr>
            <w:r>
              <w:rPr>
                <w:rFonts w:ascii="Arial" w:cs="Arial" w:eastAsia="Arial" w:hAnsi="Arial"/>
                <w:sz w:val="4"/>
                <w:szCs w:val="4"/>
                <w:color w:val="auto"/>
              </w:rPr>
              <w:t>​</w:t>
            </w:r>
          </w:p>
        </w:tc>
        <w:tc>
          <w:tcPr>
            <w:tcW w:w="2240" w:type="dxa"/>
            <w:vAlign w:val="bottom"/>
          </w:tcPr>
          <w:p>
            <w:pPr>
              <w:jc w:val="center"/>
              <w:spacing w:after="0" w:line="148" w:lineRule="exact"/>
              <w:rPr>
                <w:sz w:val="20"/>
                <w:szCs w:val="20"/>
                <w:color w:val="auto"/>
              </w:rPr>
            </w:pPr>
            <w:r>
              <w:rPr>
                <w:rFonts w:ascii="Arial" w:cs="Arial" w:eastAsia="Arial" w:hAnsi="Arial"/>
                <w:sz w:val="16"/>
                <w:szCs w:val="16"/>
                <w:color w:val="auto"/>
              </w:rPr>
              <w:t>Zendesk</w:t>
            </w:r>
          </w:p>
        </w:tc>
        <w:tc>
          <w:tcPr>
            <w:tcW w:w="460" w:type="dxa"/>
            <w:vAlign w:val="bottom"/>
          </w:tcPr>
          <w:p>
            <w:pPr>
              <w:ind w:left="420"/>
              <w:spacing w:after="0"/>
              <w:rPr>
                <w:sz w:val="20"/>
                <w:szCs w:val="20"/>
                <w:color w:val="auto"/>
              </w:rPr>
            </w:pPr>
            <w:r>
              <w:rPr>
                <w:rFonts w:ascii="Arial" w:cs="Arial" w:eastAsia="Arial" w:hAnsi="Arial"/>
                <w:sz w:val="4"/>
                <w:szCs w:val="4"/>
                <w:color w:val="auto"/>
              </w:rPr>
              <w:t>​</w:t>
            </w:r>
          </w:p>
        </w:tc>
      </w:tr>
    </w:tbl>
    <w:p>
      <w:pPr>
        <w:spacing w:after="0" w:line="289"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The compensation practices of the compensation peer group were the primary guide used by the talent and compensation committee in 2022 to compare the competitiveness of each compensation element and target total direct compensation (base salary, target annual cash bonus opportunities, and long-term equity incentive compensation).</w:t>
      </w:r>
    </w:p>
    <w:p>
      <w:pPr>
        <w:spacing w:after="0" w:line="147" w:lineRule="exact"/>
        <w:rPr>
          <w:sz w:val="20"/>
          <w:szCs w:val="20"/>
          <w:color w:val="auto"/>
        </w:rPr>
      </w:pPr>
    </w:p>
    <w:p>
      <w:pPr>
        <w:ind w:left="4" w:right="80"/>
        <w:spacing w:after="0" w:line="249"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9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39" w:name="page40"/>
    <w:bookmarkEnd w:id="39"/>
    <w:p>
      <w:pPr>
        <w:ind w:left="2"/>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2"/>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2" w:right="240"/>
        <w:spacing w:after="0" w:line="260" w:lineRule="auto"/>
        <w:rPr>
          <w:sz w:val="20"/>
          <w:szCs w:val="20"/>
          <w:color w:val="auto"/>
        </w:rPr>
      </w:pPr>
      <w:r>
        <w:rPr>
          <w:rFonts w:ascii="Arial" w:cs="Arial" w:eastAsia="Arial" w:hAnsi="Arial"/>
          <w:sz w:val="16"/>
          <w:szCs w:val="16"/>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33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0063A6"/>
        </w:rPr>
        <w:t>Compensation Setting</w:t>
      </w:r>
    </w:p>
    <w:p>
      <w:pPr>
        <w:spacing w:after="0" w:line="66" w:lineRule="exact"/>
        <w:rPr>
          <w:sz w:val="20"/>
          <w:szCs w:val="20"/>
          <w:color w:val="auto"/>
        </w:rPr>
      </w:pPr>
    </w:p>
    <w:p>
      <w:pPr>
        <w:ind w:left="2" w:right="40"/>
        <w:spacing w:after="0" w:line="260"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and all related performance criteria at the beginning of each year, or more frequently as warranted.</w:t>
      </w:r>
    </w:p>
    <w:p>
      <w:pPr>
        <w:spacing w:after="0" w:line="141" w:lineRule="exact"/>
        <w:rPr>
          <w:sz w:val="20"/>
          <w:szCs w:val="20"/>
          <w:color w:val="auto"/>
        </w:rPr>
      </w:pPr>
    </w:p>
    <w:p>
      <w:pPr>
        <w:ind w:left="2" w:right="540"/>
        <w:spacing w:after="0" w:line="260"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41" w:lineRule="exact"/>
        <w:rPr>
          <w:sz w:val="20"/>
          <w:szCs w:val="20"/>
          <w:color w:val="auto"/>
        </w:rPr>
      </w:pPr>
    </w:p>
    <w:p>
      <w:pPr>
        <w:ind w:left="2" w:right="180"/>
        <w:spacing w:after="0" w:line="260" w:lineRule="auto"/>
        <w:rPr>
          <w:sz w:val="20"/>
          <w:szCs w:val="20"/>
          <w:color w:val="auto"/>
        </w:rPr>
      </w:pPr>
      <w:r>
        <w:rPr>
          <w:rFonts w:ascii="Arial" w:cs="Arial" w:eastAsia="Arial" w:hAnsi="Arial"/>
          <w:sz w:val="16"/>
          <w:szCs w:val="16"/>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6077585" cy="2623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7585" cy="2623185"/>
                    </a:xfrm>
                    <a:prstGeom prst="rect">
                      <a:avLst/>
                    </a:prstGeom>
                    <a:noFill/>
                  </pic:spPr>
                </pic:pic>
              </a:graphicData>
            </a:graphic>
          </wp:anchor>
        </w:drawing>
      </w:r>
    </w:p>
    <w:p>
      <w:pPr>
        <w:sectPr>
          <w:pgSz w:w="11900" w:h="16838" w:orient="portrait"/>
          <w:cols w:equalWidth="0" w:num="1">
            <w:col w:w="9562"/>
          </w:cols>
          <w:pgMar w:left="1158" w:top="265" w:right="1179" w:bottom="1440" w:gutter="0" w:footer="0" w:header="0"/>
        </w:sectPr>
      </w:pPr>
    </w:p>
    <w:p>
      <w:pPr>
        <w:spacing w:after="0" w:line="157" w:lineRule="exact"/>
        <w:rPr>
          <w:sz w:val="20"/>
          <w:szCs w:val="20"/>
          <w:color w:val="auto"/>
        </w:rPr>
      </w:pPr>
    </w:p>
    <w:p>
      <w:pPr>
        <w:ind w:left="162" w:hanging="81"/>
        <w:spacing w:after="0"/>
        <w:tabs>
          <w:tab w:leader="none" w:pos="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Our executive compensation program objectives;</w:t>
      </w:r>
    </w:p>
    <w:p>
      <w:pPr>
        <w:spacing w:after="0" w:line="5" w:lineRule="exact"/>
        <w:rPr>
          <w:rFonts w:ascii="Arial" w:cs="Arial" w:eastAsia="Arial" w:hAnsi="Arial"/>
          <w:sz w:val="16"/>
          <w:szCs w:val="16"/>
          <w:color w:val="auto"/>
        </w:rPr>
      </w:pPr>
    </w:p>
    <w:p>
      <w:pPr>
        <w:ind w:left="82"/>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402" w:right="360" w:hanging="321"/>
        <w:spacing w:after="0" w:line="262" w:lineRule="auto"/>
        <w:tabs>
          <w:tab w:leader="none" w:pos="159" w:val="left"/>
        </w:tabs>
        <w:numPr>
          <w:ilvl w:val="0"/>
          <w:numId w:val="45"/>
        </w:numPr>
        <w:rPr>
          <w:rFonts w:ascii="Arial" w:cs="Arial" w:eastAsia="Arial" w:hAnsi="Arial"/>
          <w:sz w:val="15"/>
          <w:szCs w:val="15"/>
          <w:color w:val="auto"/>
        </w:rPr>
      </w:pPr>
      <w:r>
        <w:rPr>
          <w:rFonts w:ascii="Arial" w:cs="Arial" w:eastAsia="Arial" w:hAnsi="Arial"/>
          <w:sz w:val="15"/>
          <w:szCs w:val="15"/>
          <w:color w:val="auto"/>
        </w:rPr>
        <w:t>•  Our performance against the financial, operational, and strategic objectives established by the compensation committee and our board of directors;</w:t>
      </w:r>
    </w:p>
    <w:p>
      <w:pPr>
        <w:spacing w:after="0" w:line="2" w:lineRule="exact"/>
        <w:rPr>
          <w:sz w:val="20"/>
          <w:szCs w:val="20"/>
          <w:color w:val="auto"/>
        </w:rPr>
      </w:pPr>
    </w:p>
    <w:p>
      <w:pPr>
        <w:ind w:left="82"/>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02" w:right="440" w:hanging="321"/>
        <w:spacing w:after="0" w:line="262" w:lineRule="auto"/>
        <w:tabs>
          <w:tab w:leader="none" w:pos="159" w:val="left"/>
        </w:tabs>
        <w:numPr>
          <w:ilvl w:val="1"/>
          <w:numId w:val="46"/>
        </w:numPr>
        <w:rPr>
          <w:rFonts w:ascii="Arial" w:cs="Arial" w:eastAsia="Arial" w:hAnsi="Arial"/>
          <w:sz w:val="15"/>
          <w:szCs w:val="15"/>
          <w:color w:val="auto"/>
        </w:rPr>
      </w:pPr>
      <w:r>
        <w:rPr>
          <w:rFonts w:ascii="Arial" w:cs="Arial" w:eastAsia="Arial" w:hAnsi="Arial"/>
          <w:sz w:val="15"/>
          <w:szCs w:val="15"/>
          <w:color w:val="auto"/>
        </w:rPr>
        <w:t>•  Each individual executive officer’s knowledge, skills, experience, qualifications, and tenure relative to other similarly-situated executives at the companies in our compensation peer group;</w:t>
      </w:r>
    </w:p>
    <w:p>
      <w:pPr>
        <w:spacing w:after="0" w:line="2" w:lineRule="exact"/>
        <w:rPr>
          <w:rFonts w:ascii="Arial" w:cs="Arial" w:eastAsia="Arial" w:hAnsi="Arial"/>
          <w:sz w:val="15"/>
          <w:szCs w:val="15"/>
          <w:color w:val="auto"/>
        </w:rPr>
      </w:pPr>
    </w:p>
    <w:p>
      <w:pPr>
        <w:ind w:left="82" w:hanging="82"/>
        <w:spacing w:after="0"/>
        <w:tabs>
          <w:tab w:leader="none" w:pos="82" w:val="left"/>
        </w:tabs>
        <w:numPr>
          <w:ilvl w:val="0"/>
          <w:numId w:val="46"/>
        </w:numPr>
        <w:rPr>
          <w:rFonts w:ascii="Arial" w:cs="Arial" w:eastAsia="Arial" w:hAnsi="Arial"/>
          <w:sz w:val="7"/>
          <w:szCs w:val="7"/>
          <w:color w:val="auto"/>
          <w:vertAlign w:val="superscript"/>
        </w:rPr>
      </w:pPr>
      <w:r>
        <w:rPr>
          <w:rFonts w:ascii="Arial" w:cs="Arial" w:eastAsia="Arial" w:hAnsi="Arial"/>
          <w:sz w:val="16"/>
          <w:szCs w:val="16"/>
          <w:color w:val="auto"/>
        </w:rPr>
        <w:t> </w:t>
      </w:r>
    </w:p>
    <w:p>
      <w:pPr>
        <w:spacing w:after="0" w:line="5" w:lineRule="exact"/>
        <w:rPr>
          <w:rFonts w:ascii="Arial" w:cs="Arial" w:eastAsia="Arial" w:hAnsi="Arial"/>
          <w:sz w:val="7"/>
          <w:szCs w:val="7"/>
          <w:color w:val="auto"/>
          <w:vertAlign w:val="superscript"/>
        </w:rPr>
      </w:pPr>
    </w:p>
    <w:p>
      <w:pPr>
        <w:ind w:left="402" w:right="600" w:hanging="321"/>
        <w:spacing w:after="0" w:line="262" w:lineRule="auto"/>
        <w:tabs>
          <w:tab w:leader="none" w:pos="159" w:val="left"/>
        </w:tabs>
        <w:numPr>
          <w:ilvl w:val="1"/>
          <w:numId w:val="46"/>
        </w:numPr>
        <w:rPr>
          <w:rFonts w:ascii="Arial" w:cs="Arial" w:eastAsia="Arial" w:hAnsi="Arial"/>
          <w:sz w:val="15"/>
          <w:szCs w:val="15"/>
          <w:color w:val="auto"/>
        </w:rPr>
      </w:pPr>
      <w:r>
        <w:rPr>
          <w:rFonts w:ascii="Arial" w:cs="Arial" w:eastAsia="Arial" w:hAnsi="Arial"/>
          <w:sz w:val="15"/>
          <w:szCs w:val="15"/>
          <w:color w:val="auto"/>
        </w:rPr>
        <w:t>•  The scope of each executive officer’s role and responsibilities compared to other similarly-situated</w:t>
      </w:r>
    </w:p>
    <w:p>
      <w:pPr>
        <w:spacing w:after="0" w:line="1" w:lineRule="exact"/>
        <w:rPr>
          <w:sz w:val="20"/>
          <w:szCs w:val="20"/>
          <w:color w:val="auto"/>
        </w:rPr>
      </w:pPr>
    </w:p>
    <w:p>
      <w:pPr>
        <w:ind w:left="402"/>
        <w:spacing w:after="0"/>
        <w:rPr>
          <w:sz w:val="20"/>
          <w:szCs w:val="20"/>
          <w:color w:val="auto"/>
        </w:rPr>
      </w:pPr>
      <w:r>
        <w:rPr>
          <w:rFonts w:ascii="Arial" w:cs="Arial" w:eastAsia="Arial" w:hAnsi="Arial"/>
          <w:sz w:val="16"/>
          <w:szCs w:val="16"/>
          <w:color w:val="auto"/>
        </w:rPr>
        <w:t>executives at the</w:t>
      </w:r>
    </w:p>
    <w:p>
      <w:pPr>
        <w:spacing w:after="0" w:line="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companies in our compensation peer group;</w:t>
      </w:r>
    </w:p>
    <w:p>
      <w:pPr>
        <w:spacing w:after="0" w:line="5" w:lineRule="exact"/>
        <w:rPr>
          <w:sz w:val="20"/>
          <w:szCs w:val="20"/>
          <w:color w:val="auto"/>
        </w:rPr>
      </w:pPr>
    </w:p>
    <w:p>
      <w:pPr>
        <w:ind w:left="82"/>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02" w:hanging="321"/>
        <w:spacing w:after="0" w:line="270" w:lineRule="auto"/>
        <w:tabs>
          <w:tab w:leader="none" w:pos="159" w:val="left"/>
        </w:tabs>
        <w:numPr>
          <w:ilvl w:val="0"/>
          <w:numId w:val="47"/>
        </w:numPr>
        <w:rPr>
          <w:rFonts w:ascii="Arial" w:cs="Arial" w:eastAsia="Arial" w:hAnsi="Arial"/>
          <w:sz w:val="15"/>
          <w:szCs w:val="15"/>
          <w:color w:val="auto"/>
        </w:rPr>
      </w:pPr>
      <w:r>
        <w:rPr>
          <w:rFonts w:ascii="Arial" w:cs="Arial" w:eastAsia="Arial" w:hAnsi="Arial"/>
          <w:sz w:val="15"/>
          <w:szCs w:val="15"/>
          <w:color w:val="auto"/>
        </w:rPr>
        <w:t>•  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560" w:right="580" w:hanging="322"/>
        <w:spacing w:after="0" w:line="246" w:lineRule="auto"/>
        <w:rPr>
          <w:sz w:val="20"/>
          <w:szCs w:val="20"/>
          <w:color w:val="auto"/>
        </w:rPr>
      </w:pPr>
      <w:r>
        <w:rPr>
          <w:rFonts w:ascii="Arial" w:cs="Arial" w:eastAsia="Arial" w:hAnsi="Arial"/>
          <w:sz w:val="16"/>
          <w:szCs w:val="16"/>
          <w:color w:val="auto"/>
        </w:rPr>
        <w:t>  •  The potential of each individual executive officer to contribute to our long-term financial, operational, and strategic objectives;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left="560" w:right="200" w:hanging="322"/>
        <w:spacing w:after="0" w:line="246" w:lineRule="auto"/>
        <w:rPr>
          <w:sz w:val="20"/>
          <w:szCs w:val="20"/>
          <w:color w:val="auto"/>
        </w:rPr>
      </w:pPr>
      <w:r>
        <w:rPr>
          <w:rFonts w:ascii="Arial" w:cs="Arial" w:eastAsia="Arial" w:hAnsi="Arial"/>
          <w:sz w:val="16"/>
          <w:szCs w:val="16"/>
          <w:color w:val="auto"/>
        </w:rPr>
        <w:t>  •  Our Chief Executive Officer’s compensation relative to that of our executive officers, and compensation parity among our executive officers;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60" w:right="700" w:hanging="322"/>
        <w:spacing w:after="0" w:line="246" w:lineRule="auto"/>
        <w:rPr>
          <w:sz w:val="20"/>
          <w:szCs w:val="20"/>
          <w:color w:val="auto"/>
        </w:rPr>
      </w:pPr>
      <w:r>
        <w:rPr>
          <w:rFonts w:ascii="Arial" w:cs="Arial" w:eastAsia="Arial" w:hAnsi="Arial"/>
          <w:sz w:val="16"/>
          <w:szCs w:val="16"/>
          <w:color w:val="auto"/>
        </w:rPr>
        <w:t>  •  Our financial performance and profile relative to our compensation peers;</w:t>
      </w:r>
    </w:p>
    <w:p>
      <w:pPr>
        <w:spacing w:after="0" w:line="233" w:lineRule="auto"/>
        <w:tabs>
          <w:tab w:leader="none" w:pos="120" w:val="left"/>
          <w:tab w:leader="none" w:pos="220" w:val="left"/>
          <w:tab w:leader="none" w:pos="48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4"/>
          <w:szCs w:val="4"/>
          <w:color w:val="auto"/>
        </w:rPr>
        <w:t>​</w:t>
      </w:r>
    </w:p>
    <w:p>
      <w:pPr>
        <w:spacing w:after="0" w:line="5" w:lineRule="exact"/>
        <w:rPr>
          <w:sz w:val="20"/>
          <w:szCs w:val="20"/>
          <w:color w:val="auto"/>
        </w:rPr>
      </w:pPr>
    </w:p>
    <w:p>
      <w:pPr>
        <w:jc w:val="right"/>
        <w:ind w:left="560" w:right="40" w:hanging="328"/>
        <w:spacing w:after="0" w:line="262" w:lineRule="auto"/>
        <w:tabs>
          <w:tab w:leader="none" w:pos="317" w:val="left"/>
        </w:tabs>
        <w:numPr>
          <w:ilvl w:val="0"/>
          <w:numId w:val="48"/>
        </w:numPr>
        <w:rPr>
          <w:rFonts w:ascii="Arial" w:cs="Arial" w:eastAsia="Arial" w:hAnsi="Arial"/>
          <w:sz w:val="15"/>
          <w:szCs w:val="15"/>
          <w:color w:val="auto"/>
        </w:rPr>
      </w:pPr>
      <w:r>
        <w:rPr>
          <w:rFonts w:ascii="Arial" w:cs="Arial" w:eastAsia="Arial" w:hAnsi="Arial"/>
          <w:sz w:val="15"/>
          <w:szCs w:val="15"/>
          <w:color w:val="auto"/>
        </w:rPr>
        <w:t>•   The compensation practices of our compensation peer group and the positioning of each executive officer’s compensation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 ranking of peer company compensation</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levels based on an analysis of competitive market data; and</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60" w:right="300" w:hanging="328"/>
        <w:spacing w:after="0" w:line="291" w:lineRule="auto"/>
        <w:tabs>
          <w:tab w:leader="none" w:pos="317" w:val="left"/>
        </w:tabs>
        <w:numPr>
          <w:ilvl w:val="0"/>
          <w:numId w:val="49"/>
        </w:numPr>
        <w:rPr>
          <w:rFonts w:ascii="Arial" w:cs="Arial" w:eastAsia="Arial" w:hAnsi="Arial"/>
          <w:sz w:val="15"/>
          <w:szCs w:val="15"/>
          <w:color w:val="auto"/>
        </w:rPr>
      </w:pPr>
      <w:r>
        <w:rPr>
          <w:rFonts w:ascii="Arial" w:cs="Arial" w:eastAsia="Arial" w:hAnsi="Arial"/>
          <w:sz w:val="15"/>
          <w:szCs w:val="15"/>
          <w:color w:val="auto"/>
        </w:rPr>
        <w:t>•  The recommendations of our Chief Executive Officer with respect to the compensation of other executive officers.</w:t>
      </w:r>
    </w:p>
    <w:p>
      <w:pPr>
        <w:spacing w:after="0" w:line="740" w:lineRule="exact"/>
        <w:rPr>
          <w:sz w:val="20"/>
          <w:szCs w:val="20"/>
          <w:color w:val="auto"/>
        </w:rPr>
      </w:pPr>
    </w:p>
    <w:p>
      <w:pPr>
        <w:sectPr>
          <w:pgSz w:w="11900" w:h="16838" w:orient="portrait"/>
          <w:cols w:equalWidth="0" w:num="2">
            <w:col w:w="4642" w:space="40"/>
            <w:col w:w="4880"/>
          </w:cols>
          <w:pgMar w:left="1158" w:top="265" w:right="1179" w:bottom="1440" w:gutter="0" w:footer="0" w:header="0"/>
          <w:type w:val="continuous"/>
        </w:sectPr>
      </w:pPr>
    </w:p>
    <w:p>
      <w:pPr>
        <w:ind w:left="2" w:right="40"/>
        <w:spacing w:after="0" w:line="260"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41" w:lineRule="exact"/>
        <w:rPr>
          <w:sz w:val="20"/>
          <w:szCs w:val="20"/>
          <w:color w:val="auto"/>
        </w:rPr>
      </w:pPr>
    </w:p>
    <w:p>
      <w:pPr>
        <w:ind w:left="2" w:right="180"/>
        <w:spacing w:after="0" w:line="251"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talent and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48" w:lineRule="exact"/>
        <w:rPr>
          <w:sz w:val="20"/>
          <w:szCs w:val="20"/>
          <w:color w:val="auto"/>
        </w:rPr>
      </w:pPr>
    </w:p>
    <w:p>
      <w:pPr>
        <w:ind w:left="2"/>
        <w:spacing w:after="0" w:line="251" w:lineRule="auto"/>
        <w:rPr>
          <w:sz w:val="20"/>
          <w:szCs w:val="20"/>
          <w:color w:val="auto"/>
        </w:rPr>
      </w:pPr>
      <w:r>
        <w:rPr>
          <w:rFonts w:ascii="Arial" w:cs="Arial" w:eastAsia="Arial" w:hAnsi="Arial"/>
          <w:sz w:val="16"/>
          <w:szCs w:val="16"/>
          <w:color w:val="auto"/>
        </w:rPr>
        <w:t>In addition, the talent and compensation committee considered feedback from our stockholders and the result of our most recent Say-on-Pay vote. Our fiscal 2022 Say-on-Pay vote reflected 99.0% support from our stockholders, based on the percentage of the stockholder votes received. The talent and compensation committee believes this indicates that our stockholders support the philosophy, strategy, objectives, and administration of our executive compensation programs.</w:t>
      </w:r>
    </w:p>
    <w:p>
      <w:pPr>
        <w:spacing w:after="0" w:line="148" w:lineRule="exact"/>
        <w:rPr>
          <w:sz w:val="20"/>
          <w:szCs w:val="20"/>
          <w:color w:val="auto"/>
        </w:rPr>
      </w:pPr>
    </w:p>
    <w:p>
      <w:pPr>
        <w:jc w:val="both"/>
        <w:ind w:left="2" w:right="20"/>
        <w:spacing w:after="0" w:line="253"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 xml:space="preserve">36 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2"/>
          </w:cols>
          <w:pgMar w:left="1158" w:top="265" w:right="11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Compensation Elements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2022,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077585" cy="2023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7585" cy="202311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Element</w:t>
            </w:r>
          </w:p>
        </w:tc>
        <w:tc>
          <w:tcPr>
            <w:tcW w:w="24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16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r>
              <w:rPr>
                <w:rFonts w:ascii="Arial" w:cs="Arial" w:eastAsia="Arial" w:hAnsi="Arial"/>
                <w:sz w:val="14"/>
                <w:szCs w:val="14"/>
                <w:b w:val="1"/>
                <w:bCs w:val="1"/>
                <w:color w:val="FFFFFF"/>
              </w:rPr>
              <w:t>Type of Element</w:t>
            </w:r>
          </w:p>
        </w:tc>
        <w:tc>
          <w:tcPr>
            <w:tcW w:w="400" w:type="dxa"/>
            <w:vAlign w:val="bottom"/>
            <w:shd w:val="clear" w:color="auto" w:fill="0063A6"/>
          </w:tcPr>
          <w:p>
            <w:pPr>
              <w:ind w:left="340"/>
              <w:spacing w:after="0"/>
              <w:rPr>
                <w:sz w:val="20"/>
                <w:szCs w:val="20"/>
                <w:color w:val="auto"/>
              </w:rPr>
            </w:pPr>
            <w:r>
              <w:rPr>
                <w:rFonts w:ascii="Arial" w:cs="Arial" w:eastAsia="Arial" w:hAnsi="Arial"/>
                <w:sz w:val="4"/>
                <w:szCs w:val="4"/>
                <w:color w:val="auto"/>
              </w:rPr>
              <w:t>​</w:t>
            </w:r>
          </w:p>
        </w:tc>
        <w:tc>
          <w:tcPr>
            <w:tcW w:w="18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r>
              <w:rPr>
                <w:rFonts w:ascii="Arial" w:cs="Arial" w:eastAsia="Arial" w:hAnsi="Arial"/>
                <w:sz w:val="14"/>
                <w:szCs w:val="14"/>
                <w:b w:val="1"/>
                <w:bCs w:val="1"/>
                <w:color w:val="FFFFFF"/>
              </w:rPr>
              <w:t>Compensation Element</w:t>
            </w:r>
          </w:p>
        </w:tc>
        <w:tc>
          <w:tcPr>
            <w:tcW w:w="16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34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Objective</w:t>
            </w:r>
          </w:p>
        </w:tc>
        <w:tc>
          <w:tcPr>
            <w:tcW w:w="8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r>
      <w:tr>
        <w:trPr>
          <w:trHeight w:val="80"/>
        </w:trPr>
        <w:tc>
          <w:tcPr>
            <w:tcW w:w="40" w:type="dxa"/>
            <w:vAlign w:val="bottom"/>
            <w:shd w:val="clear" w:color="auto" w:fill="0063A6"/>
          </w:tcPr>
          <w:p>
            <w:pPr>
              <w:spacing w:after="0"/>
              <w:rPr>
                <w:sz w:val="6"/>
                <w:szCs w:val="6"/>
                <w:color w:val="auto"/>
              </w:rPr>
            </w:pPr>
          </w:p>
        </w:tc>
        <w:tc>
          <w:tcPr>
            <w:tcW w:w="164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1620" w:type="dxa"/>
            <w:vAlign w:val="bottom"/>
            <w:shd w:val="clear" w:color="auto" w:fill="0063A6"/>
          </w:tcPr>
          <w:p>
            <w:pPr>
              <w:spacing w:after="0"/>
              <w:rPr>
                <w:sz w:val="6"/>
                <w:szCs w:val="6"/>
                <w:color w:val="auto"/>
              </w:rPr>
            </w:pPr>
          </w:p>
        </w:tc>
        <w:tc>
          <w:tcPr>
            <w:tcW w:w="400" w:type="dxa"/>
            <w:vAlign w:val="bottom"/>
            <w:shd w:val="clear" w:color="auto" w:fill="0063A6"/>
          </w:tcPr>
          <w:p>
            <w:pPr>
              <w:spacing w:after="0"/>
              <w:rPr>
                <w:sz w:val="6"/>
                <w:szCs w:val="6"/>
                <w:color w:val="auto"/>
              </w:rPr>
            </w:pPr>
          </w:p>
        </w:tc>
        <w:tc>
          <w:tcPr>
            <w:tcW w:w="1840" w:type="dxa"/>
            <w:vAlign w:val="bottom"/>
            <w:shd w:val="clear" w:color="auto" w:fill="0063A6"/>
          </w:tcPr>
          <w:p>
            <w:pPr>
              <w:spacing w:after="0"/>
              <w:rPr>
                <w:sz w:val="6"/>
                <w:szCs w:val="6"/>
                <w:color w:val="auto"/>
              </w:rPr>
            </w:pPr>
          </w:p>
        </w:tc>
        <w:tc>
          <w:tcPr>
            <w:tcW w:w="16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3440" w:type="dxa"/>
            <w:vAlign w:val="bottom"/>
            <w:shd w:val="clear" w:color="auto" w:fill="0063A6"/>
          </w:tcPr>
          <w:p>
            <w:pPr>
              <w:spacing w:after="0"/>
              <w:rPr>
                <w:sz w:val="6"/>
                <w:szCs w:val="6"/>
                <w:color w:val="auto"/>
              </w:rPr>
            </w:pPr>
          </w:p>
        </w:tc>
        <w:tc>
          <w:tcPr>
            <w:tcW w:w="80" w:type="dxa"/>
            <w:vAlign w:val="bottom"/>
            <w:shd w:val="clear" w:color="auto" w:fill="0063A6"/>
          </w:tcPr>
          <w:p>
            <w:pPr>
              <w:spacing w:after="0"/>
              <w:rPr>
                <w:sz w:val="6"/>
                <w:szCs w:val="6"/>
                <w:color w:val="auto"/>
              </w:rPr>
            </w:pPr>
          </w:p>
        </w:tc>
      </w:tr>
      <w:tr>
        <w:trPr>
          <w:trHeight w:val="285"/>
        </w:trPr>
        <w:tc>
          <w:tcPr>
            <w:tcW w:w="40" w:type="dxa"/>
            <w:vAlign w:val="bottom"/>
            <w:shd w:val="clear" w:color="auto" w:fill="F2F2F2"/>
          </w:tcPr>
          <w:p>
            <w:pPr>
              <w:spacing w:after="0"/>
              <w:rPr>
                <w:sz w:val="24"/>
                <w:szCs w:val="24"/>
                <w:color w:val="auto"/>
              </w:rPr>
            </w:pPr>
          </w:p>
        </w:tc>
        <w:tc>
          <w:tcPr>
            <w:tcW w:w="1640" w:type="dxa"/>
            <w:vAlign w:val="bottom"/>
            <w:shd w:val="clear" w:color="auto" w:fill="F2F2F2"/>
          </w:tcPr>
          <w:p>
            <w:pPr>
              <w:ind w:left="40"/>
              <w:spacing w:after="0"/>
              <w:rPr>
                <w:sz w:val="20"/>
                <w:szCs w:val="20"/>
                <w:color w:val="auto"/>
              </w:rPr>
            </w:pPr>
            <w:r>
              <w:rPr>
                <w:rFonts w:ascii="Arial" w:cs="Arial" w:eastAsia="Arial" w:hAnsi="Arial"/>
                <w:sz w:val="16"/>
                <w:szCs w:val="16"/>
                <w:color w:val="auto"/>
              </w:rPr>
              <w:t>Base Salary</w:t>
            </w:r>
          </w:p>
        </w:tc>
        <w:tc>
          <w:tcPr>
            <w:tcW w:w="240" w:type="dxa"/>
            <w:vAlign w:val="bottom"/>
            <w:shd w:val="clear" w:color="auto" w:fill="F2F2F2"/>
          </w:tcPr>
          <w:p>
            <w:pPr>
              <w:spacing w:after="0"/>
              <w:rPr>
                <w:sz w:val="24"/>
                <w:szCs w:val="24"/>
                <w:color w:val="auto"/>
              </w:rPr>
            </w:pPr>
          </w:p>
        </w:tc>
        <w:tc>
          <w:tcPr>
            <w:tcW w:w="1620" w:type="dxa"/>
            <w:vAlign w:val="bottom"/>
            <w:shd w:val="clear" w:color="auto" w:fill="F2F2F2"/>
          </w:tcPr>
          <w:p>
            <w:pPr>
              <w:ind w:left="180"/>
              <w:spacing w:after="0"/>
              <w:rPr>
                <w:sz w:val="20"/>
                <w:szCs w:val="20"/>
                <w:color w:val="auto"/>
              </w:rPr>
            </w:pPr>
            <w:r>
              <w:rPr>
                <w:rFonts w:ascii="Arial" w:cs="Arial" w:eastAsia="Arial" w:hAnsi="Arial"/>
                <w:sz w:val="16"/>
                <w:szCs w:val="16"/>
                <w:color w:val="auto"/>
              </w:rPr>
              <w:t>Fixed</w:t>
            </w:r>
          </w:p>
        </w:tc>
        <w:tc>
          <w:tcPr>
            <w:tcW w:w="400" w:type="dxa"/>
            <w:vAlign w:val="bottom"/>
            <w:shd w:val="clear" w:color="auto" w:fill="F2F2F2"/>
          </w:tcPr>
          <w:p>
            <w:pPr>
              <w:spacing w:after="0"/>
              <w:rPr>
                <w:sz w:val="24"/>
                <w:szCs w:val="24"/>
                <w:color w:val="auto"/>
              </w:rPr>
            </w:pPr>
          </w:p>
        </w:tc>
        <w:tc>
          <w:tcPr>
            <w:tcW w:w="184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Attract and retain highly talented executives by</w:t>
            </w:r>
          </w:p>
        </w:tc>
        <w:tc>
          <w:tcPr>
            <w:tcW w:w="80" w:type="dxa"/>
            <w:vAlign w:val="bottom"/>
            <w:shd w:val="clear" w:color="auto" w:fill="F2F2F2"/>
          </w:tcPr>
          <w:p>
            <w:pPr>
              <w:spacing w:after="0"/>
              <w:rPr>
                <w:sz w:val="24"/>
                <w:szCs w:val="24"/>
                <w:color w:val="auto"/>
              </w:rPr>
            </w:pPr>
          </w:p>
        </w:tc>
      </w:tr>
      <w:tr>
        <w:trPr>
          <w:trHeight w:val="189"/>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640" w:type="dxa"/>
            <w:vAlign w:val="bottom"/>
            <w:shd w:val="clear" w:color="auto" w:fill="F2F2F2"/>
          </w:tcPr>
          <w:p>
            <w:pPr>
              <w:spacing w:after="0"/>
              <w:rPr>
                <w:sz w:val="16"/>
                <w:szCs w:val="16"/>
                <w:color w:val="auto"/>
              </w:rPr>
            </w:pP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6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340"/>
              <w:spacing w:after="0"/>
              <w:rPr>
                <w:sz w:val="20"/>
                <w:szCs w:val="20"/>
                <w:color w:val="auto"/>
              </w:rPr>
            </w:pPr>
            <w:r>
              <w:rPr>
                <w:rFonts w:ascii="Arial" w:cs="Arial" w:eastAsia="Arial" w:hAnsi="Arial"/>
                <w:sz w:val="4"/>
                <w:szCs w:val="4"/>
                <w:color w:val="auto"/>
              </w:rPr>
              <w:t>​</w:t>
            </w:r>
          </w:p>
        </w:tc>
        <w:tc>
          <w:tcPr>
            <w:tcW w:w="18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providing fixed compensation amounts that are</w:t>
            </w:r>
          </w:p>
        </w:tc>
        <w:tc>
          <w:tcPr>
            <w:tcW w:w="8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r>
      <w:tr>
        <w:trPr>
          <w:trHeight w:val="189"/>
        </w:trPr>
        <w:tc>
          <w:tcPr>
            <w:tcW w:w="4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62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competitive in the market and reward</w:t>
            </w:r>
          </w:p>
        </w:tc>
        <w:tc>
          <w:tcPr>
            <w:tcW w:w="80" w:type="dxa"/>
            <w:vAlign w:val="bottom"/>
            <w:shd w:val="clear" w:color="auto" w:fill="F2F2F2"/>
          </w:tcPr>
          <w:p>
            <w:pPr>
              <w:spacing w:after="0"/>
              <w:rPr>
                <w:sz w:val="16"/>
                <w:szCs w:val="16"/>
                <w:color w:val="auto"/>
              </w:rPr>
            </w:pPr>
          </w:p>
        </w:tc>
      </w:tr>
      <w:tr>
        <w:trPr>
          <w:trHeight w:val="195"/>
        </w:trPr>
        <w:tc>
          <w:tcPr>
            <w:tcW w:w="4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62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performance.</w:t>
            </w:r>
          </w:p>
        </w:tc>
        <w:tc>
          <w:tcPr>
            <w:tcW w:w="80" w:type="dxa"/>
            <w:vAlign w:val="bottom"/>
            <w:shd w:val="clear" w:color="auto" w:fill="F2F2F2"/>
          </w:tcPr>
          <w:p>
            <w:pPr>
              <w:spacing w:after="0"/>
              <w:rPr>
                <w:sz w:val="16"/>
                <w:szCs w:val="16"/>
                <w:color w:val="auto"/>
              </w:rPr>
            </w:pPr>
          </w:p>
        </w:tc>
      </w:tr>
      <w:tr>
        <w:trPr>
          <w:trHeight w:val="87"/>
        </w:trPr>
        <w:tc>
          <w:tcPr>
            <w:tcW w:w="40" w:type="dxa"/>
            <w:vAlign w:val="bottom"/>
            <w:shd w:val="clear" w:color="auto" w:fill="F2F2F2"/>
          </w:tcPr>
          <w:p>
            <w:pPr>
              <w:spacing w:after="0"/>
              <w:rPr>
                <w:sz w:val="7"/>
                <w:szCs w:val="7"/>
                <w:color w:val="auto"/>
              </w:rPr>
            </w:pPr>
          </w:p>
        </w:tc>
        <w:tc>
          <w:tcPr>
            <w:tcW w:w="16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40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344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r>
      <w:tr>
        <w:trPr>
          <w:trHeight w:val="285"/>
        </w:trPr>
        <w:tc>
          <w:tcPr>
            <w:tcW w:w="4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Arial" w:cs="Arial" w:eastAsia="Arial" w:hAnsi="Arial"/>
                <w:sz w:val="16"/>
                <w:szCs w:val="16"/>
                <w:color w:val="auto"/>
              </w:rPr>
              <w:t>Annual Cash Bonus</w:t>
            </w:r>
          </w:p>
        </w:tc>
        <w:tc>
          <w:tcPr>
            <w:tcW w:w="240" w:type="dxa"/>
            <w:vAlign w:val="bottom"/>
          </w:tcPr>
          <w:p>
            <w:pPr>
              <w:spacing w:after="0"/>
              <w:rPr>
                <w:sz w:val="24"/>
                <w:szCs w:val="24"/>
                <w:color w:val="auto"/>
              </w:rPr>
            </w:pPr>
          </w:p>
        </w:tc>
        <w:tc>
          <w:tcPr>
            <w:tcW w:w="1620" w:type="dxa"/>
            <w:vAlign w:val="bottom"/>
          </w:tcPr>
          <w:p>
            <w:pPr>
              <w:ind w:left="180"/>
              <w:spacing w:after="0"/>
              <w:rPr>
                <w:sz w:val="20"/>
                <w:szCs w:val="20"/>
                <w:color w:val="auto"/>
              </w:rPr>
            </w:pPr>
            <w:r>
              <w:rPr>
                <w:rFonts w:ascii="Arial" w:cs="Arial" w:eastAsia="Arial" w:hAnsi="Arial"/>
                <w:sz w:val="16"/>
                <w:szCs w:val="16"/>
                <w:color w:val="auto"/>
              </w:rPr>
              <w:t>Variable</w:t>
            </w:r>
          </w:p>
        </w:tc>
        <w:tc>
          <w:tcPr>
            <w:tcW w:w="400" w:type="dxa"/>
            <w:vAlign w:val="bottom"/>
          </w:tcPr>
          <w:p>
            <w:pPr>
              <w:spacing w:after="0"/>
              <w:rPr>
                <w:sz w:val="24"/>
                <w:szCs w:val="24"/>
                <w:color w:val="auto"/>
              </w:rPr>
            </w:pPr>
          </w:p>
        </w:tc>
        <w:tc>
          <w:tcPr>
            <w:tcW w:w="1840" w:type="dxa"/>
            <w:vAlign w:val="bottom"/>
          </w:tcPr>
          <w:p>
            <w:pPr>
              <w:ind w:left="14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16"/>
                <w:szCs w:val="16"/>
                <w:color w:val="auto"/>
              </w:rPr>
              <w:t>Motivate our executives to achieve annual</w:t>
            </w:r>
          </w:p>
        </w:tc>
        <w:tc>
          <w:tcPr>
            <w:tcW w:w="8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Arial" w:cs="Arial" w:eastAsia="Arial" w:hAnsi="Arial"/>
                <w:sz w:val="16"/>
                <w:szCs w:val="16"/>
                <w:color w:val="auto"/>
              </w:rPr>
              <w:t>business objectives set forth in our annual</w:t>
            </w:r>
          </w:p>
        </w:tc>
        <w:tc>
          <w:tcPr>
            <w:tcW w:w="80" w:type="dxa"/>
            <w:vAlign w:val="bottom"/>
          </w:tcPr>
          <w:p>
            <w:pPr>
              <w:spacing w:after="0"/>
              <w:rPr>
                <w:sz w:val="16"/>
                <w:szCs w:val="16"/>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40" w:type="dxa"/>
            <w:vAlign w:val="bottom"/>
          </w:tcPr>
          <w:p>
            <w:pPr>
              <w:spacing w:after="0"/>
              <w:rPr>
                <w:sz w:val="16"/>
                <w:szCs w:val="16"/>
                <w:color w:val="auto"/>
              </w:rPr>
            </w:pP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1620" w:type="dxa"/>
            <w:vAlign w:val="bottom"/>
          </w:tcPr>
          <w:p>
            <w:pPr>
              <w:ind w:left="60"/>
              <w:spacing w:after="0"/>
              <w:rPr>
                <w:sz w:val="20"/>
                <w:szCs w:val="20"/>
                <w:color w:val="auto"/>
              </w:rPr>
            </w:pPr>
            <w:r>
              <w:rPr>
                <w:rFonts w:ascii="Arial" w:cs="Arial" w:eastAsia="Arial" w:hAnsi="Arial"/>
                <w:sz w:val="4"/>
                <w:szCs w:val="4"/>
                <w:color w:val="auto"/>
              </w:rPr>
              <w:t>​</w:t>
            </w:r>
          </w:p>
        </w:tc>
        <w:tc>
          <w:tcPr>
            <w:tcW w:w="400" w:type="dxa"/>
            <w:vAlign w:val="bottom"/>
          </w:tcPr>
          <w:p>
            <w:pPr>
              <w:ind w:left="340"/>
              <w:spacing w:after="0"/>
              <w:rPr>
                <w:sz w:val="20"/>
                <w:szCs w:val="20"/>
                <w:color w:val="auto"/>
              </w:rPr>
            </w:pPr>
            <w:r>
              <w:rPr>
                <w:rFonts w:ascii="Arial" w:cs="Arial" w:eastAsia="Arial" w:hAnsi="Arial"/>
                <w:sz w:val="4"/>
                <w:szCs w:val="4"/>
                <w:color w:val="auto"/>
              </w:rPr>
              <w:t>​</w:t>
            </w:r>
          </w:p>
        </w:tc>
        <w:tc>
          <w:tcPr>
            <w:tcW w:w="1840" w:type="dxa"/>
            <w:vAlign w:val="bottom"/>
          </w:tcPr>
          <w:p>
            <w:pPr>
              <w:ind w:left="60"/>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3440" w:type="dxa"/>
            <w:vAlign w:val="bottom"/>
          </w:tcPr>
          <w:p>
            <w:pPr>
              <w:ind w:left="40"/>
              <w:spacing w:after="0"/>
              <w:rPr>
                <w:sz w:val="20"/>
                <w:szCs w:val="20"/>
                <w:color w:val="auto"/>
              </w:rPr>
            </w:pPr>
            <w:r>
              <w:rPr>
                <w:rFonts w:ascii="Arial" w:cs="Arial" w:eastAsia="Arial" w:hAnsi="Arial"/>
                <w:sz w:val="16"/>
                <w:szCs w:val="16"/>
                <w:color w:val="auto"/>
              </w:rPr>
              <w:t>operating plan and provide financial incentives</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r>
      <w:tr>
        <w:trPr>
          <w:trHeight w:val="189"/>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Arial" w:cs="Arial" w:eastAsia="Arial" w:hAnsi="Arial"/>
                <w:sz w:val="16"/>
                <w:szCs w:val="16"/>
                <w:color w:val="auto"/>
              </w:rPr>
              <w:t>when we meet or exceed these annual</w:t>
            </w:r>
          </w:p>
        </w:tc>
        <w:tc>
          <w:tcPr>
            <w:tcW w:w="80" w:type="dxa"/>
            <w:vAlign w:val="bottom"/>
          </w:tcPr>
          <w:p>
            <w:pPr>
              <w:spacing w:after="0"/>
              <w:rPr>
                <w:sz w:val="16"/>
                <w:szCs w:val="16"/>
                <w:color w:val="auto"/>
              </w:rPr>
            </w:pPr>
          </w:p>
        </w:tc>
      </w:tr>
      <w:tr>
        <w:trPr>
          <w:trHeight w:val="195"/>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ind w:left="40"/>
              <w:spacing w:after="0"/>
              <w:rPr>
                <w:sz w:val="20"/>
                <w:szCs w:val="20"/>
                <w:color w:val="auto"/>
              </w:rPr>
            </w:pPr>
            <w:r>
              <w:rPr>
                <w:rFonts w:ascii="Arial" w:cs="Arial" w:eastAsia="Arial" w:hAnsi="Arial"/>
                <w:sz w:val="16"/>
                <w:szCs w:val="16"/>
                <w:color w:val="auto"/>
              </w:rPr>
              <w:t>objectives.</w:t>
            </w:r>
          </w:p>
        </w:tc>
        <w:tc>
          <w:tcPr>
            <w:tcW w:w="80" w:type="dxa"/>
            <w:vAlign w:val="bottom"/>
          </w:tcPr>
          <w:p>
            <w:pPr>
              <w:spacing w:after="0"/>
              <w:rPr>
                <w:sz w:val="16"/>
                <w:szCs w:val="16"/>
                <w:color w:val="auto"/>
              </w:rPr>
            </w:pPr>
          </w:p>
        </w:tc>
      </w:tr>
      <w:tr>
        <w:trPr>
          <w:trHeight w:val="87"/>
        </w:trPr>
        <w:tc>
          <w:tcPr>
            <w:tcW w:w="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85"/>
        </w:trPr>
        <w:tc>
          <w:tcPr>
            <w:tcW w:w="40" w:type="dxa"/>
            <w:vAlign w:val="bottom"/>
            <w:shd w:val="clear" w:color="auto" w:fill="F2F2F2"/>
          </w:tcPr>
          <w:p>
            <w:pPr>
              <w:spacing w:after="0"/>
              <w:rPr>
                <w:sz w:val="24"/>
                <w:szCs w:val="24"/>
                <w:color w:val="auto"/>
              </w:rPr>
            </w:pPr>
          </w:p>
        </w:tc>
        <w:tc>
          <w:tcPr>
            <w:tcW w:w="1640" w:type="dxa"/>
            <w:vAlign w:val="bottom"/>
            <w:shd w:val="clear" w:color="auto" w:fill="F2F2F2"/>
          </w:tcPr>
          <w:p>
            <w:pPr>
              <w:ind w:left="40"/>
              <w:spacing w:after="0"/>
              <w:rPr>
                <w:sz w:val="20"/>
                <w:szCs w:val="20"/>
                <w:color w:val="auto"/>
              </w:rPr>
            </w:pPr>
            <w:r>
              <w:rPr>
                <w:rFonts w:ascii="Arial" w:cs="Arial" w:eastAsia="Arial" w:hAnsi="Arial"/>
                <w:sz w:val="16"/>
                <w:szCs w:val="16"/>
                <w:color w:val="auto"/>
              </w:rPr>
              <w:t>Long-Term Equity</w:t>
            </w:r>
          </w:p>
        </w:tc>
        <w:tc>
          <w:tcPr>
            <w:tcW w:w="240" w:type="dxa"/>
            <w:vAlign w:val="bottom"/>
            <w:shd w:val="clear" w:color="auto" w:fill="F2F2F2"/>
          </w:tcPr>
          <w:p>
            <w:pPr>
              <w:spacing w:after="0"/>
              <w:rPr>
                <w:sz w:val="24"/>
                <w:szCs w:val="24"/>
                <w:color w:val="auto"/>
              </w:rPr>
            </w:pPr>
          </w:p>
        </w:tc>
        <w:tc>
          <w:tcPr>
            <w:tcW w:w="1620" w:type="dxa"/>
            <w:vAlign w:val="bottom"/>
            <w:shd w:val="clear" w:color="auto" w:fill="F2F2F2"/>
          </w:tcPr>
          <w:p>
            <w:pPr>
              <w:ind w:left="180"/>
              <w:spacing w:after="0"/>
              <w:rPr>
                <w:sz w:val="20"/>
                <w:szCs w:val="20"/>
                <w:color w:val="auto"/>
              </w:rPr>
            </w:pPr>
            <w:r>
              <w:rPr>
                <w:rFonts w:ascii="Arial" w:cs="Arial" w:eastAsia="Arial" w:hAnsi="Arial"/>
                <w:sz w:val="16"/>
                <w:szCs w:val="16"/>
                <w:color w:val="auto"/>
              </w:rPr>
              <w:t>Variable</w:t>
            </w:r>
          </w:p>
        </w:tc>
        <w:tc>
          <w:tcPr>
            <w:tcW w:w="400" w:type="dxa"/>
            <w:vAlign w:val="bottom"/>
            <w:shd w:val="clear" w:color="auto" w:fill="F2F2F2"/>
          </w:tcPr>
          <w:p>
            <w:pPr>
              <w:spacing w:after="0"/>
              <w:rPr>
                <w:sz w:val="24"/>
                <w:szCs w:val="24"/>
                <w:color w:val="auto"/>
              </w:rPr>
            </w:pPr>
          </w:p>
        </w:tc>
        <w:tc>
          <w:tcPr>
            <w:tcW w:w="1840" w:type="dxa"/>
            <w:vAlign w:val="bottom"/>
            <w:shd w:val="clear" w:color="auto" w:fill="F2F2F2"/>
          </w:tcPr>
          <w:p>
            <w:pPr>
              <w:ind w:left="14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Align the interests of our executives and our</w:t>
            </w:r>
          </w:p>
        </w:tc>
        <w:tc>
          <w:tcPr>
            <w:tcW w:w="80" w:type="dxa"/>
            <w:vAlign w:val="bottom"/>
            <w:shd w:val="clear" w:color="auto" w:fill="F2F2F2"/>
          </w:tcPr>
          <w:p>
            <w:pPr>
              <w:spacing w:after="0"/>
              <w:rPr>
                <w:sz w:val="24"/>
                <w:szCs w:val="24"/>
                <w:color w:val="auto"/>
              </w:rPr>
            </w:pPr>
          </w:p>
        </w:tc>
      </w:tr>
      <w:tr>
        <w:trPr>
          <w:trHeight w:val="189"/>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80" w:type="dxa"/>
            <w:vAlign w:val="bottom"/>
            <w:gridSpan w:val="2"/>
            <w:shd w:val="clear" w:color="auto" w:fill="F2F2F2"/>
          </w:tcPr>
          <w:p>
            <w:pPr>
              <w:ind w:left="40"/>
              <w:spacing w:after="0"/>
              <w:rPr>
                <w:sz w:val="20"/>
                <w:szCs w:val="20"/>
                <w:color w:val="auto"/>
              </w:rPr>
            </w:pPr>
            <w:r>
              <w:rPr>
                <w:rFonts w:ascii="Arial" w:cs="Arial" w:eastAsia="Arial" w:hAnsi="Arial"/>
                <w:sz w:val="16"/>
                <w:szCs w:val="16"/>
                <w:color w:val="auto"/>
              </w:rPr>
              <w:t xml:space="preserve">Incentive Compensation </w:t>
            </w:r>
            <w:r>
              <w:rPr>
                <w:rFonts w:ascii="Arial" w:cs="Arial" w:eastAsia="Arial" w:hAnsi="Arial"/>
                <w:sz w:val="3"/>
                <w:szCs w:val="3"/>
                <w:color w:val="auto"/>
              </w:rPr>
              <w:t>​</w:t>
            </w:r>
          </w:p>
        </w:tc>
        <w:tc>
          <w:tcPr>
            <w:tcW w:w="16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340"/>
              <w:spacing w:after="0"/>
              <w:rPr>
                <w:sz w:val="20"/>
                <w:szCs w:val="20"/>
                <w:color w:val="auto"/>
              </w:rPr>
            </w:pPr>
            <w:r>
              <w:rPr>
                <w:rFonts w:ascii="Arial" w:cs="Arial" w:eastAsia="Arial" w:hAnsi="Arial"/>
                <w:sz w:val="4"/>
                <w:szCs w:val="4"/>
                <w:color w:val="auto"/>
              </w:rPr>
              <w:t>​</w:t>
            </w:r>
          </w:p>
        </w:tc>
        <w:tc>
          <w:tcPr>
            <w:tcW w:w="18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stockholders by motivating them to create</w:t>
            </w:r>
          </w:p>
        </w:tc>
        <w:tc>
          <w:tcPr>
            <w:tcW w:w="8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r>
      <w:tr>
        <w:trPr>
          <w:trHeight w:val="195"/>
        </w:trPr>
        <w:tc>
          <w:tcPr>
            <w:tcW w:w="4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62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440" w:type="dxa"/>
            <w:vAlign w:val="bottom"/>
            <w:shd w:val="clear" w:color="auto" w:fill="F2F2F2"/>
          </w:tcPr>
          <w:p>
            <w:pPr>
              <w:ind w:left="40"/>
              <w:spacing w:after="0"/>
              <w:rPr>
                <w:sz w:val="20"/>
                <w:szCs w:val="20"/>
                <w:color w:val="auto"/>
              </w:rPr>
            </w:pPr>
            <w:r>
              <w:rPr>
                <w:rFonts w:ascii="Arial" w:cs="Arial" w:eastAsia="Arial" w:hAnsi="Arial"/>
                <w:sz w:val="16"/>
                <w:szCs w:val="16"/>
                <w:color w:val="auto"/>
              </w:rPr>
              <w:t>sustainable long-term stockholder value.</w:t>
            </w:r>
          </w:p>
        </w:tc>
        <w:tc>
          <w:tcPr>
            <w:tcW w:w="80" w:type="dxa"/>
            <w:vAlign w:val="bottom"/>
            <w:shd w:val="clear" w:color="auto" w:fill="F2F2F2"/>
          </w:tcPr>
          <w:p>
            <w:pPr>
              <w:spacing w:after="0"/>
              <w:rPr>
                <w:sz w:val="16"/>
                <w:szCs w:val="16"/>
                <w:color w:val="auto"/>
              </w:rPr>
            </w:pPr>
          </w:p>
        </w:tc>
      </w:tr>
      <w:tr>
        <w:trPr>
          <w:trHeight w:val="60"/>
        </w:trPr>
        <w:tc>
          <w:tcPr>
            <w:tcW w:w="4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240" w:type="dxa"/>
            <w:vAlign w:val="bottom"/>
            <w:shd w:val="clear" w:color="auto" w:fill="F2F2F2"/>
          </w:tcPr>
          <w:p>
            <w:pPr>
              <w:spacing w:after="0"/>
              <w:rPr>
                <w:sz w:val="5"/>
                <w:szCs w:val="5"/>
                <w:color w:val="auto"/>
              </w:rPr>
            </w:pPr>
          </w:p>
        </w:tc>
        <w:tc>
          <w:tcPr>
            <w:tcW w:w="1620" w:type="dxa"/>
            <w:vAlign w:val="bottom"/>
            <w:shd w:val="clear" w:color="auto" w:fill="F2F2F2"/>
          </w:tcPr>
          <w:p>
            <w:pPr>
              <w:spacing w:after="0"/>
              <w:rPr>
                <w:sz w:val="5"/>
                <w:szCs w:val="5"/>
                <w:color w:val="auto"/>
              </w:rPr>
            </w:pPr>
          </w:p>
        </w:tc>
        <w:tc>
          <w:tcPr>
            <w:tcW w:w="400" w:type="dxa"/>
            <w:vAlign w:val="bottom"/>
            <w:shd w:val="clear" w:color="auto" w:fill="F2F2F2"/>
          </w:tcPr>
          <w:p>
            <w:pPr>
              <w:spacing w:after="0"/>
              <w:rPr>
                <w:sz w:val="5"/>
                <w:szCs w:val="5"/>
                <w:color w:val="auto"/>
              </w:rPr>
            </w:pPr>
          </w:p>
        </w:tc>
        <w:tc>
          <w:tcPr>
            <w:tcW w:w="184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3440" w:type="dxa"/>
            <w:vAlign w:val="bottom"/>
            <w:shd w:val="clear" w:color="auto" w:fill="F2F2F2"/>
          </w:tcPr>
          <w:p>
            <w:pPr>
              <w:spacing w:after="0"/>
              <w:rPr>
                <w:sz w:val="5"/>
                <w:szCs w:val="5"/>
                <w:color w:val="auto"/>
              </w:rPr>
            </w:pPr>
          </w:p>
        </w:tc>
        <w:tc>
          <w:tcPr>
            <w:tcW w:w="80" w:type="dxa"/>
            <w:vAlign w:val="bottom"/>
            <w:shd w:val="clear" w:color="auto" w:fill="F2F2F2"/>
          </w:tcPr>
          <w:p>
            <w:pPr>
              <w:spacing w:after="0"/>
              <w:rPr>
                <w:sz w:val="5"/>
                <w:szCs w:val="5"/>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Mix of Pay</w:t>
      </w:r>
    </w:p>
    <w:p>
      <w:pPr>
        <w:spacing w:after="0" w:line="6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primary focus in compensating executive officers is on the longer-term and performance-based elements of target total direct compensation. Under our 2022 executive compensation program, approximately 75% of target total direct compensation to our named executive officers (excluding our CEO) was variable in the form of annual cash bonus and long-term equity incentive compensation. Our CEO’s mix of pay is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6"/>
          <w:szCs w:val="16"/>
          <w:i w:val="1"/>
          <w:iCs w:val="1"/>
          <w:color w:val="auto"/>
        </w:rPr>
        <w:t>Co-Founder Grant</w:t>
      </w:r>
      <w:r>
        <w:rPr>
          <w:rFonts w:ascii="Arial" w:cs="Arial" w:eastAsia="Arial" w:hAnsi="Arial"/>
          <w:sz w:val="16"/>
          <w:szCs w:val="16"/>
          <w:color w:val="auto"/>
        </w:rPr>
        <w:t>” below. In addition, Mr. Young did not receive an equity award in 2022 due to an equity award he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which delivers value only if we achieved certain stock price goals during the term of the award. Mr. Young’s award granted in connection with his promotion to President is further described in “</w:t>
      </w:r>
      <w:r>
        <w:rPr>
          <w:rFonts w:ascii="Arial" w:cs="Arial" w:eastAsia="Arial" w:hAnsi="Arial"/>
          <w:sz w:val="16"/>
          <w:szCs w:val="16"/>
          <w:i w:val="1"/>
          <w:iCs w:val="1"/>
          <w:color w:val="auto"/>
        </w:rPr>
        <w:t>Performance Achievement of Mr. Young’s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RSA</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137160</wp:posOffset>
            </wp:positionV>
            <wp:extent cx="3394710" cy="1825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947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Base Salary</w:t>
      </w:r>
    </w:p>
    <w:p>
      <w:pPr>
        <w:spacing w:after="0" w:line="6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1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negotiations at the time we hire them, taking into account their position, qualifications, experience, prior salary level,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pacing w:after="0" w:line="19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March 2022, the talent and compensation committee reviewed the base salaries of our executive officers, taking into consideration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competitive market analysis and the recommendations of our Chief Executive Officer, as well as the other factors described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 In connection with this review, Mr. Regan’s salary was increased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$500,000 effective February 1, 2022. Mr. Regan’s salary was further increased to $560,000 effective August 1, 2022 to reflect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expanded scope and increased responsibilities of Mr. Regan’s role within the company, including responsibilities relating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information technology and company planning. The base salaries of our remaining named executive officers did not change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 levels because the talent and compensation committee felt their current base salaries remained appropriate after considering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competitive market analysis and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for 2022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6077585" cy="1388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7585" cy="138874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2"/>
                <w:szCs w:val="22"/>
                <w:color w:val="auto"/>
              </w:rPr>
            </w:pPr>
          </w:p>
        </w:tc>
        <w:tc>
          <w:tcPr>
            <w:tcW w:w="3040" w:type="dxa"/>
            <w:vAlign w:val="bottom"/>
            <w:shd w:val="clear" w:color="auto" w:fill="0063A6"/>
          </w:tcPr>
          <w:p>
            <w:pPr>
              <w:spacing w:after="0"/>
              <w:rPr>
                <w:sz w:val="22"/>
                <w:szCs w:val="22"/>
                <w:color w:val="auto"/>
              </w:rPr>
            </w:pPr>
          </w:p>
        </w:tc>
        <w:tc>
          <w:tcPr>
            <w:tcW w:w="138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1480" w:type="dxa"/>
            <w:vAlign w:val="bottom"/>
            <w:shd w:val="clear" w:color="auto" w:fill="0063A6"/>
          </w:tcPr>
          <w:p>
            <w:pPr>
              <w:spacing w:after="0"/>
              <w:rPr>
                <w:sz w:val="22"/>
                <w:szCs w:val="22"/>
                <w:color w:val="auto"/>
              </w:rPr>
            </w:pPr>
          </w:p>
        </w:tc>
        <w:tc>
          <w:tcPr>
            <w:tcW w:w="80" w:type="dxa"/>
            <w:vAlign w:val="bottom"/>
            <w:shd w:val="clear" w:color="auto" w:fill="0063A6"/>
          </w:tcPr>
          <w:p>
            <w:pPr>
              <w:spacing w:after="0"/>
              <w:rPr>
                <w:sz w:val="22"/>
                <w:szCs w:val="22"/>
                <w:color w:val="auto"/>
              </w:rPr>
            </w:pPr>
          </w:p>
        </w:tc>
        <w:tc>
          <w:tcPr>
            <w:tcW w:w="200" w:type="dxa"/>
            <w:vAlign w:val="bottom"/>
            <w:shd w:val="clear" w:color="auto" w:fill="0063A6"/>
          </w:tcPr>
          <w:p>
            <w:pPr>
              <w:spacing w:after="0"/>
              <w:rPr>
                <w:sz w:val="22"/>
                <w:szCs w:val="22"/>
                <w:color w:val="auto"/>
              </w:rPr>
            </w:pPr>
          </w:p>
        </w:tc>
        <w:tc>
          <w:tcPr>
            <w:tcW w:w="134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Base Salary</w:t>
            </w:r>
          </w:p>
        </w:tc>
        <w:tc>
          <w:tcPr>
            <w:tcW w:w="140" w:type="dxa"/>
            <w:vAlign w:val="bottom"/>
            <w:shd w:val="clear" w:color="auto" w:fill="0063A6"/>
          </w:tcPr>
          <w:p>
            <w:pPr>
              <w:spacing w:after="0"/>
              <w:rPr>
                <w:sz w:val="22"/>
                <w:szCs w:val="22"/>
                <w:color w:val="auto"/>
              </w:rPr>
            </w:pPr>
          </w:p>
        </w:tc>
        <w:tc>
          <w:tcPr>
            <w:tcW w:w="280" w:type="dxa"/>
            <w:vAlign w:val="bottom"/>
            <w:shd w:val="clear" w:color="auto" w:fill="0063A6"/>
          </w:tcPr>
          <w:p>
            <w:pPr>
              <w:spacing w:after="0"/>
              <w:rPr>
                <w:sz w:val="22"/>
                <w:szCs w:val="22"/>
                <w:color w:val="auto"/>
              </w:rPr>
            </w:pPr>
          </w:p>
        </w:tc>
        <w:tc>
          <w:tcPr>
            <w:tcW w:w="118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Percentage</w:t>
            </w:r>
          </w:p>
        </w:tc>
        <w:tc>
          <w:tcPr>
            <w:tcW w:w="260" w:type="dxa"/>
            <w:vAlign w:val="bottom"/>
            <w:shd w:val="clear" w:color="auto" w:fill="0063A6"/>
          </w:tcPr>
          <w:p>
            <w:pPr>
              <w:spacing w:after="0"/>
              <w:rPr>
                <w:sz w:val="22"/>
                <w:szCs w:val="22"/>
                <w:color w:val="auto"/>
              </w:rPr>
            </w:pPr>
          </w:p>
        </w:tc>
      </w:tr>
      <w:tr>
        <w:trPr>
          <w:trHeight w:val="162"/>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040" w:type="dxa"/>
            <w:vAlign w:val="bottom"/>
            <w:shd w:val="clear" w:color="auto" w:fill="0063A6"/>
          </w:tcPr>
          <w:p>
            <w:pPr>
              <w:spacing w:after="0"/>
              <w:rPr>
                <w:sz w:val="14"/>
                <w:szCs w:val="14"/>
                <w:color w:val="auto"/>
              </w:rPr>
            </w:pPr>
          </w:p>
        </w:tc>
        <w:tc>
          <w:tcPr>
            <w:tcW w:w="1380" w:type="dxa"/>
            <w:vAlign w:val="bottom"/>
            <w:shd w:val="clear" w:color="auto" w:fill="0063A6"/>
          </w:tcPr>
          <w:p>
            <w:pPr>
              <w:ind w:left="130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4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Base Salary</w:t>
            </w:r>
          </w:p>
        </w:tc>
        <w:tc>
          <w:tcPr>
            <w:tcW w:w="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34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as of End of 2022</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8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8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(Decrease) /</w:t>
            </w:r>
          </w:p>
        </w:tc>
        <w:tc>
          <w:tcPr>
            <w:tcW w:w="26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r>
      <w:tr>
        <w:trPr>
          <w:trHeight w:val="190"/>
        </w:trPr>
        <w:tc>
          <w:tcPr>
            <w:tcW w:w="40" w:type="dxa"/>
            <w:vAlign w:val="bottom"/>
            <w:shd w:val="clear" w:color="auto" w:fill="0063A6"/>
          </w:tcPr>
          <w:p>
            <w:pPr>
              <w:spacing w:after="0"/>
              <w:rPr>
                <w:sz w:val="16"/>
                <w:szCs w:val="16"/>
                <w:color w:val="auto"/>
              </w:rPr>
            </w:pPr>
          </w:p>
        </w:tc>
        <w:tc>
          <w:tcPr>
            <w:tcW w:w="30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1380" w:type="dxa"/>
            <w:vAlign w:val="bottom"/>
            <w:shd w:val="clear" w:color="auto" w:fill="0063A6"/>
          </w:tcPr>
          <w:p>
            <w:pPr>
              <w:spacing w:after="0"/>
              <w:rPr>
                <w:sz w:val="16"/>
                <w:szCs w:val="16"/>
                <w:color w:val="auto"/>
              </w:rPr>
            </w:pPr>
          </w:p>
        </w:tc>
        <w:tc>
          <w:tcPr>
            <w:tcW w:w="140" w:type="dxa"/>
            <w:vAlign w:val="bottom"/>
            <w:shd w:val="clear" w:color="auto" w:fill="0063A6"/>
          </w:tcPr>
          <w:p>
            <w:pPr>
              <w:spacing w:after="0"/>
              <w:rPr>
                <w:sz w:val="16"/>
                <w:szCs w:val="16"/>
                <w:color w:val="auto"/>
              </w:rPr>
            </w:pPr>
          </w:p>
        </w:tc>
        <w:tc>
          <w:tcPr>
            <w:tcW w:w="148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as of End of 2021 ($)</w:t>
            </w:r>
          </w:p>
        </w:tc>
        <w:tc>
          <w:tcPr>
            <w:tcW w:w="80" w:type="dxa"/>
            <w:vAlign w:val="bottom"/>
            <w:shd w:val="clear" w:color="auto" w:fill="0063A6"/>
          </w:tcPr>
          <w:p>
            <w:pPr>
              <w:spacing w:after="0"/>
              <w:rPr>
                <w:sz w:val="16"/>
                <w:szCs w:val="16"/>
                <w:color w:val="auto"/>
              </w:rPr>
            </w:pPr>
          </w:p>
        </w:tc>
        <w:tc>
          <w:tcPr>
            <w:tcW w:w="200" w:type="dxa"/>
            <w:vAlign w:val="bottom"/>
            <w:shd w:val="clear" w:color="auto" w:fill="0063A6"/>
          </w:tcPr>
          <w:p>
            <w:pPr>
              <w:spacing w:after="0"/>
              <w:rPr>
                <w:sz w:val="16"/>
                <w:szCs w:val="16"/>
                <w:color w:val="auto"/>
              </w:rPr>
            </w:pPr>
          </w:p>
        </w:tc>
        <w:tc>
          <w:tcPr>
            <w:tcW w:w="134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0063A6"/>
          </w:tcPr>
          <w:p>
            <w:pPr>
              <w:spacing w:after="0"/>
              <w:rPr>
                <w:sz w:val="16"/>
                <w:szCs w:val="16"/>
                <w:color w:val="auto"/>
              </w:rPr>
            </w:pPr>
          </w:p>
        </w:tc>
        <w:tc>
          <w:tcPr>
            <w:tcW w:w="280" w:type="dxa"/>
            <w:vAlign w:val="bottom"/>
            <w:shd w:val="clear" w:color="auto" w:fill="0063A6"/>
          </w:tcPr>
          <w:p>
            <w:pPr>
              <w:spacing w:after="0"/>
              <w:rPr>
                <w:sz w:val="16"/>
                <w:szCs w:val="16"/>
                <w:color w:val="auto"/>
              </w:rPr>
            </w:pPr>
          </w:p>
        </w:tc>
        <w:tc>
          <w:tcPr>
            <w:tcW w:w="118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Increase</w:t>
            </w:r>
          </w:p>
        </w:tc>
        <w:tc>
          <w:tcPr>
            <w:tcW w:w="260" w:type="dxa"/>
            <w:vAlign w:val="bottom"/>
            <w:shd w:val="clear" w:color="auto" w:fill="0063A6"/>
          </w:tcPr>
          <w:p>
            <w:pPr>
              <w:spacing w:after="0"/>
              <w:rPr>
                <w:sz w:val="16"/>
                <w:szCs w:val="16"/>
                <w:color w:val="auto"/>
              </w:rPr>
            </w:pPr>
          </w:p>
        </w:tc>
      </w:tr>
      <w:tr>
        <w:trPr>
          <w:trHeight w:val="80"/>
        </w:trPr>
        <w:tc>
          <w:tcPr>
            <w:tcW w:w="40" w:type="dxa"/>
            <w:vAlign w:val="bottom"/>
            <w:shd w:val="clear" w:color="auto" w:fill="0063A6"/>
          </w:tcPr>
          <w:p>
            <w:pPr>
              <w:spacing w:after="0"/>
              <w:rPr>
                <w:sz w:val="6"/>
                <w:szCs w:val="6"/>
                <w:color w:val="auto"/>
              </w:rPr>
            </w:pPr>
          </w:p>
        </w:tc>
        <w:tc>
          <w:tcPr>
            <w:tcW w:w="3040" w:type="dxa"/>
            <w:vAlign w:val="bottom"/>
            <w:shd w:val="clear" w:color="auto" w:fill="0063A6"/>
          </w:tcPr>
          <w:p>
            <w:pPr>
              <w:spacing w:after="0"/>
              <w:rPr>
                <w:sz w:val="6"/>
                <w:szCs w:val="6"/>
                <w:color w:val="auto"/>
              </w:rPr>
            </w:pPr>
          </w:p>
        </w:tc>
        <w:tc>
          <w:tcPr>
            <w:tcW w:w="138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1480" w:type="dxa"/>
            <w:vAlign w:val="bottom"/>
            <w:shd w:val="clear" w:color="auto" w:fill="0063A6"/>
          </w:tcPr>
          <w:p>
            <w:pPr>
              <w:spacing w:after="0"/>
              <w:rPr>
                <w:sz w:val="6"/>
                <w:szCs w:val="6"/>
                <w:color w:val="auto"/>
              </w:rPr>
            </w:pPr>
          </w:p>
        </w:tc>
        <w:tc>
          <w:tcPr>
            <w:tcW w:w="80" w:type="dxa"/>
            <w:vAlign w:val="bottom"/>
            <w:shd w:val="clear" w:color="auto" w:fill="0063A6"/>
          </w:tcPr>
          <w:p>
            <w:pPr>
              <w:spacing w:after="0"/>
              <w:rPr>
                <w:sz w:val="6"/>
                <w:szCs w:val="6"/>
                <w:color w:val="auto"/>
              </w:rPr>
            </w:pPr>
          </w:p>
        </w:tc>
        <w:tc>
          <w:tcPr>
            <w:tcW w:w="200" w:type="dxa"/>
            <w:vAlign w:val="bottom"/>
            <w:shd w:val="clear" w:color="auto" w:fill="0063A6"/>
          </w:tcPr>
          <w:p>
            <w:pPr>
              <w:spacing w:after="0"/>
              <w:rPr>
                <w:sz w:val="6"/>
                <w:szCs w:val="6"/>
                <w:color w:val="auto"/>
              </w:rPr>
            </w:pPr>
          </w:p>
        </w:tc>
        <w:tc>
          <w:tcPr>
            <w:tcW w:w="134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280" w:type="dxa"/>
            <w:vAlign w:val="bottom"/>
            <w:shd w:val="clear" w:color="auto" w:fill="0063A6"/>
          </w:tcPr>
          <w:p>
            <w:pPr>
              <w:spacing w:after="0"/>
              <w:rPr>
                <w:sz w:val="6"/>
                <w:szCs w:val="6"/>
                <w:color w:val="auto"/>
              </w:rPr>
            </w:pPr>
          </w:p>
        </w:tc>
        <w:tc>
          <w:tcPr>
            <w:tcW w:w="1180" w:type="dxa"/>
            <w:vAlign w:val="bottom"/>
            <w:shd w:val="clear" w:color="auto" w:fill="0063A6"/>
          </w:tcPr>
          <w:p>
            <w:pPr>
              <w:spacing w:after="0"/>
              <w:rPr>
                <w:sz w:val="6"/>
                <w:szCs w:val="6"/>
                <w:color w:val="auto"/>
              </w:rPr>
            </w:pPr>
          </w:p>
        </w:tc>
        <w:tc>
          <w:tcPr>
            <w:tcW w:w="260" w:type="dxa"/>
            <w:vAlign w:val="bottom"/>
            <w:shd w:val="clear" w:color="auto" w:fill="0063A6"/>
          </w:tcPr>
          <w:p>
            <w:pPr>
              <w:spacing w:after="0"/>
              <w:rPr>
                <w:sz w:val="6"/>
                <w:szCs w:val="6"/>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0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1380" w:type="dxa"/>
            <w:vAlign w:val="bottom"/>
            <w:shd w:val="clear" w:color="auto" w:fill="F2F2F2"/>
          </w:tcPr>
          <w:p>
            <w:pPr>
              <w:ind w:left="130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8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4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rPr>
              <w:t>625,000</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jc w:val="right"/>
              <w:ind w:right="323"/>
              <w:spacing w:after="0"/>
              <w:rPr>
                <w:sz w:val="20"/>
                <w:szCs w:val="20"/>
                <w:color w:val="auto"/>
              </w:rPr>
            </w:pPr>
            <w:r>
              <w:rPr>
                <w:rFonts w:ascii="Arial" w:cs="Arial" w:eastAsia="Arial" w:hAnsi="Arial"/>
                <w:sz w:val="16"/>
                <w:szCs w:val="16"/>
                <w:color w:val="auto"/>
              </w:rPr>
              <w:t>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304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48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118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1380" w:type="dxa"/>
            <w:vAlign w:val="bottom"/>
          </w:tcPr>
          <w:p>
            <w:pPr>
              <w:ind w:left="130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475,000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200" w:type="dxa"/>
            <w:vAlign w:val="bottom"/>
          </w:tcPr>
          <w:p>
            <w:pPr>
              <w:ind w:left="8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3"/>
              <w:spacing w:after="0"/>
              <w:rPr>
                <w:sz w:val="20"/>
                <w:szCs w:val="20"/>
                <w:color w:val="auto"/>
              </w:rPr>
            </w:pPr>
            <w:r>
              <w:rPr>
                <w:rFonts w:ascii="Arial" w:cs="Arial" w:eastAsia="Arial" w:hAnsi="Arial"/>
                <w:sz w:val="16"/>
                <w:szCs w:val="16"/>
                <w:color w:val="auto"/>
              </w:rPr>
              <w:t>560,000</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280" w:type="dxa"/>
            <w:vAlign w:val="bottom"/>
          </w:tcPr>
          <w:p>
            <w:pPr>
              <w:ind w:left="60"/>
              <w:spacing w:after="0"/>
              <w:rPr>
                <w:sz w:val="20"/>
                <w:szCs w:val="20"/>
                <w:color w:val="auto"/>
              </w:rPr>
            </w:pPr>
            <w:r>
              <w:rPr>
                <w:rFonts w:ascii="Arial" w:cs="Arial" w:eastAsia="Arial" w:hAnsi="Arial"/>
                <w:sz w:val="4"/>
                <w:szCs w:val="4"/>
                <w:color w:val="auto"/>
              </w:rPr>
              <w:t>​</w:t>
            </w:r>
          </w:p>
        </w:tc>
        <w:tc>
          <w:tcPr>
            <w:tcW w:w="1180" w:type="dxa"/>
            <w:vAlign w:val="bottom"/>
          </w:tcPr>
          <w:p>
            <w:pPr>
              <w:jc w:val="right"/>
              <w:ind w:right="303"/>
              <w:spacing w:after="0"/>
              <w:rPr>
                <w:sz w:val="20"/>
                <w:szCs w:val="20"/>
                <w:color w:val="auto"/>
              </w:rPr>
            </w:pPr>
            <w:r>
              <w:rPr>
                <w:rFonts w:ascii="Arial" w:cs="Arial" w:eastAsia="Arial" w:hAnsi="Arial"/>
                <w:sz w:val="16"/>
                <w:szCs w:val="16"/>
                <w:color w:val="auto"/>
              </w:rPr>
              <w:t>18%</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04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1380" w:type="dxa"/>
            <w:vAlign w:val="bottom"/>
            <w:shd w:val="clear" w:color="auto" w:fill="F2F2F2"/>
          </w:tcPr>
          <w:p>
            <w:pPr>
              <w:ind w:left="130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8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4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jc w:val="right"/>
              <w:ind w:right="323"/>
              <w:spacing w:after="0"/>
              <w:rPr>
                <w:sz w:val="20"/>
                <w:szCs w:val="20"/>
                <w:color w:val="auto"/>
              </w:rPr>
            </w:pPr>
            <w:r>
              <w:rPr>
                <w:rFonts w:ascii="Arial" w:cs="Arial" w:eastAsia="Arial" w:hAnsi="Arial"/>
                <w:sz w:val="16"/>
                <w:szCs w:val="16"/>
                <w:color w:val="auto"/>
              </w:rPr>
              <w:t>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304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48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3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118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1380" w:type="dxa"/>
            <w:vAlign w:val="bottom"/>
          </w:tcPr>
          <w:p>
            <w:pPr>
              <w:ind w:left="130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475,000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200" w:type="dxa"/>
            <w:vAlign w:val="bottom"/>
          </w:tcPr>
          <w:p>
            <w:pPr>
              <w:ind w:left="8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3"/>
              <w:spacing w:after="0"/>
              <w:rPr>
                <w:sz w:val="20"/>
                <w:szCs w:val="20"/>
                <w:color w:val="auto"/>
              </w:rPr>
            </w:pPr>
            <w:r>
              <w:rPr>
                <w:rFonts w:ascii="Arial" w:cs="Arial" w:eastAsia="Arial" w:hAnsi="Arial"/>
                <w:sz w:val="16"/>
                <w:szCs w:val="16"/>
                <w:color w:val="auto"/>
              </w:rPr>
              <w:t>475,000</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280" w:type="dxa"/>
            <w:vAlign w:val="bottom"/>
          </w:tcPr>
          <w:p>
            <w:pPr>
              <w:ind w:left="60"/>
              <w:spacing w:after="0"/>
              <w:rPr>
                <w:sz w:val="20"/>
                <w:szCs w:val="20"/>
                <w:color w:val="auto"/>
              </w:rPr>
            </w:pPr>
            <w:r>
              <w:rPr>
                <w:rFonts w:ascii="Arial" w:cs="Arial" w:eastAsia="Arial" w:hAnsi="Arial"/>
                <w:sz w:val="4"/>
                <w:szCs w:val="4"/>
                <w:color w:val="auto"/>
              </w:rPr>
              <w:t>​</w:t>
            </w:r>
          </w:p>
        </w:tc>
        <w:tc>
          <w:tcPr>
            <w:tcW w:w="1180" w:type="dxa"/>
            <w:vAlign w:val="bottom"/>
          </w:tcPr>
          <w:p>
            <w:pPr>
              <w:jc w:val="right"/>
              <w:ind w:right="323"/>
              <w:spacing w:after="0"/>
              <w:rPr>
                <w:sz w:val="20"/>
                <w:szCs w:val="20"/>
                <w:color w:val="auto"/>
              </w:rPr>
            </w:pPr>
            <w:r>
              <w:rPr>
                <w:rFonts w:ascii="Arial" w:cs="Arial" w:eastAsia="Arial" w:hAnsi="Arial"/>
                <w:sz w:val="16"/>
                <w:szCs w:val="16"/>
                <w:color w:val="auto"/>
              </w:rPr>
              <w:t>0%</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r>
    </w:tbl>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base salaries paid to our named executive officers during 2022 are set forth in the “</w:t>
      </w:r>
      <w:r>
        <w:rPr>
          <w:rFonts w:ascii="Arial" w:cs="Arial" w:eastAsia="Arial" w:hAnsi="Arial"/>
          <w:sz w:val="16"/>
          <w:szCs w:val="16"/>
          <w:i w:val="1"/>
          <w:iCs w:val="1"/>
          <w:color w:val="auto"/>
        </w:rPr>
        <w:t>Summary Compensation Table for Fiscal Year</w:t>
      </w:r>
      <w:r>
        <w:rPr>
          <w:rFonts w:ascii="Arial" w:cs="Arial" w:eastAsia="Arial" w:hAnsi="Arial"/>
          <w:sz w:val="16"/>
          <w:szCs w:val="16"/>
          <w:color w:val="auto"/>
        </w:rPr>
        <w:t xml:space="preserve"> </w:t>
      </w:r>
      <w:r>
        <w:rPr>
          <w:rFonts w:ascii="Arial" w:cs="Arial" w:eastAsia="Arial" w:hAnsi="Arial"/>
          <w:sz w:val="16"/>
          <w:szCs w:val="16"/>
          <w:i w:val="1"/>
          <w:iCs w:val="1"/>
          <w:color w:val="auto"/>
        </w:rPr>
        <w:t>2022</w:t>
      </w:r>
      <w:r>
        <w:rPr>
          <w:rFonts w:ascii="Arial" w:cs="Arial" w:eastAsia="Arial" w:hAnsi="Arial"/>
          <w:sz w:val="16"/>
          <w:szCs w:val="16"/>
          <w:color w:val="auto"/>
        </w:rPr>
        <w:t>” below.</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Annual Cash Bonuses</w:t>
      </w:r>
    </w:p>
    <w:p>
      <w:pPr>
        <w:spacing w:after="0" w:line="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March 2022, the talent and compensation committee, with input from management, adopted our 2022 annual cash bonus plan (the “</w:t>
      </w:r>
      <w:r>
        <w:rPr>
          <w:rFonts w:ascii="Arial" w:cs="Arial" w:eastAsia="Arial" w:hAnsi="Arial"/>
          <w:sz w:val="16"/>
          <w:szCs w:val="16"/>
          <w:b w:val="1"/>
          <w:bCs w:val="1"/>
          <w:i w:val="1"/>
          <w:iCs w:val="1"/>
          <w:color w:val="auto"/>
        </w:rPr>
        <w:t>2022 Cash Bonus Plan</w:t>
      </w:r>
      <w:r>
        <w:rPr>
          <w:rFonts w:ascii="Arial" w:cs="Arial" w:eastAsia="Arial" w:hAnsi="Arial"/>
          <w:sz w:val="16"/>
          <w:szCs w:val="16"/>
          <w:color w:val="auto"/>
        </w:rPr>
        <w:t>”), which was designed to provide financial incentives for us to meet or exceed the pre-established target levels for revenue and operating margin established under our 2022 annual operating plan. The 2022 Cash Bonus Plan funded based on our actual achievement against the pre-established target levels for the corporate performance measure.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Under the 2022 Cash Bonus Plan, cash bonus payments were based upon an eligible percentage of each participant’s base salary. In March 2022, the talent and compensation committee reviewed and approved the target annual cash bonus opportunities of our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 Compensation Setting</w:t>
      </w:r>
      <w:r>
        <w:rPr>
          <w:rFonts w:ascii="Arial" w:cs="Arial" w:eastAsia="Arial" w:hAnsi="Arial"/>
          <w:sz w:val="16"/>
          <w:szCs w:val="16"/>
          <w:color w:val="auto"/>
        </w:rPr>
        <w:t>” above. Based on this review, the talent and compensation committee decided to make no adjustment to the target annual cash bonus opportunity (as a percentage of base salary) of each of our named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38 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42" w:name="page43"/>
    <w:bookmarkEnd w:id="42"/>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2022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141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7585" cy="141478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2"/>
                <w:szCs w:val="22"/>
                <w:color w:val="auto"/>
              </w:rPr>
            </w:pPr>
          </w:p>
        </w:tc>
        <w:tc>
          <w:tcPr>
            <w:tcW w:w="3240" w:type="dxa"/>
            <w:vAlign w:val="bottom"/>
            <w:shd w:val="clear" w:color="auto" w:fill="0063A6"/>
          </w:tcPr>
          <w:p>
            <w:pPr>
              <w:spacing w:after="0"/>
              <w:rPr>
                <w:sz w:val="22"/>
                <w:szCs w:val="22"/>
                <w:color w:val="auto"/>
              </w:rPr>
            </w:pPr>
          </w:p>
        </w:tc>
        <w:tc>
          <w:tcPr>
            <w:tcW w:w="1620" w:type="dxa"/>
            <w:vAlign w:val="bottom"/>
            <w:shd w:val="clear" w:color="auto" w:fill="0063A6"/>
          </w:tcPr>
          <w:p>
            <w:pPr>
              <w:spacing w:after="0"/>
              <w:rPr>
                <w:sz w:val="22"/>
                <w:szCs w:val="22"/>
                <w:color w:val="auto"/>
              </w:rPr>
            </w:pPr>
          </w:p>
        </w:tc>
        <w:tc>
          <w:tcPr>
            <w:tcW w:w="200" w:type="dxa"/>
            <w:vAlign w:val="bottom"/>
            <w:shd w:val="clear" w:color="auto" w:fill="0063A6"/>
          </w:tcPr>
          <w:p>
            <w:pPr>
              <w:spacing w:after="0"/>
              <w:rPr>
                <w:sz w:val="22"/>
                <w:szCs w:val="22"/>
                <w:color w:val="auto"/>
              </w:rPr>
            </w:pPr>
          </w:p>
        </w:tc>
        <w:tc>
          <w:tcPr>
            <w:tcW w:w="23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w:t>
            </w:r>
          </w:p>
        </w:tc>
        <w:tc>
          <w:tcPr>
            <w:tcW w:w="10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174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r>
      <w:tr>
        <w:trPr>
          <w:trHeight w:val="162"/>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240" w:type="dxa"/>
            <w:vAlign w:val="bottom"/>
            <w:shd w:val="clear" w:color="auto" w:fill="0063A6"/>
          </w:tcPr>
          <w:p>
            <w:pPr>
              <w:spacing w:after="0"/>
              <w:rPr>
                <w:sz w:val="14"/>
                <w:szCs w:val="14"/>
                <w:color w:val="auto"/>
              </w:rPr>
            </w:pPr>
          </w:p>
        </w:tc>
        <w:tc>
          <w:tcPr>
            <w:tcW w:w="1620" w:type="dxa"/>
            <w:vAlign w:val="bottom"/>
            <w:shd w:val="clear" w:color="auto" w:fill="0063A6"/>
          </w:tcPr>
          <w:p>
            <w:pPr>
              <w:ind w:left="152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230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Cash Bonus Opportunity</w:t>
            </w: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88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2022 Target Annual Cash</w:t>
            </w:r>
            <w:r>
              <w:rPr>
                <w:rFonts w:ascii="Arial" w:cs="Arial" w:eastAsia="Arial" w:hAnsi="Arial"/>
                <w:sz w:val="3"/>
                <w:szCs w:val="3"/>
                <w:color w:val="000000"/>
              </w:rPr>
              <w:t>​</w:t>
            </w:r>
          </w:p>
        </w:tc>
      </w:tr>
      <w:tr>
        <w:trPr>
          <w:trHeight w:val="190"/>
        </w:trPr>
        <w:tc>
          <w:tcPr>
            <w:tcW w:w="40" w:type="dxa"/>
            <w:vAlign w:val="bottom"/>
            <w:shd w:val="clear" w:color="auto" w:fill="0063A6"/>
          </w:tcPr>
          <w:p>
            <w:pPr>
              <w:spacing w:after="0"/>
              <w:rPr>
                <w:sz w:val="16"/>
                <w:szCs w:val="16"/>
                <w:color w:val="auto"/>
              </w:rPr>
            </w:pPr>
          </w:p>
        </w:tc>
        <w:tc>
          <w:tcPr>
            <w:tcW w:w="32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1620" w:type="dxa"/>
            <w:vAlign w:val="bottom"/>
            <w:shd w:val="clear" w:color="auto" w:fill="0063A6"/>
          </w:tcPr>
          <w:p>
            <w:pPr>
              <w:spacing w:after="0"/>
              <w:rPr>
                <w:sz w:val="16"/>
                <w:szCs w:val="16"/>
                <w:color w:val="auto"/>
              </w:rPr>
            </w:pPr>
          </w:p>
        </w:tc>
        <w:tc>
          <w:tcPr>
            <w:tcW w:w="200" w:type="dxa"/>
            <w:vAlign w:val="bottom"/>
            <w:shd w:val="clear" w:color="auto" w:fill="0063A6"/>
          </w:tcPr>
          <w:p>
            <w:pPr>
              <w:spacing w:after="0"/>
              <w:rPr>
                <w:sz w:val="16"/>
                <w:szCs w:val="16"/>
                <w:color w:val="auto"/>
              </w:rPr>
            </w:pPr>
          </w:p>
        </w:tc>
        <w:tc>
          <w:tcPr>
            <w:tcW w:w="230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(as a Percentage of Base Salary)</w:t>
            </w:r>
          </w:p>
        </w:tc>
        <w:tc>
          <w:tcPr>
            <w:tcW w:w="100" w:type="dxa"/>
            <w:vAlign w:val="bottom"/>
            <w:shd w:val="clear" w:color="auto" w:fill="0063A6"/>
          </w:tcPr>
          <w:p>
            <w:pPr>
              <w:spacing w:after="0"/>
              <w:rPr>
                <w:sz w:val="16"/>
                <w:szCs w:val="16"/>
                <w:color w:val="auto"/>
              </w:rPr>
            </w:pPr>
          </w:p>
        </w:tc>
        <w:tc>
          <w:tcPr>
            <w:tcW w:w="180" w:type="dxa"/>
            <w:vAlign w:val="bottom"/>
            <w:shd w:val="clear" w:color="auto" w:fill="0063A6"/>
          </w:tcPr>
          <w:p>
            <w:pPr>
              <w:spacing w:after="0"/>
              <w:rPr>
                <w:sz w:val="16"/>
                <w:szCs w:val="16"/>
                <w:color w:val="auto"/>
              </w:rPr>
            </w:pPr>
          </w:p>
        </w:tc>
        <w:tc>
          <w:tcPr>
            <w:tcW w:w="174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Bonus Opportunity ($)</w:t>
            </w:r>
          </w:p>
        </w:tc>
        <w:tc>
          <w:tcPr>
            <w:tcW w:w="140" w:type="dxa"/>
            <w:vAlign w:val="bottom"/>
            <w:shd w:val="clear" w:color="auto" w:fill="0063A6"/>
          </w:tcPr>
          <w:p>
            <w:pPr>
              <w:spacing w:after="0"/>
              <w:rPr>
                <w:sz w:val="16"/>
                <w:szCs w:val="16"/>
                <w:color w:val="auto"/>
              </w:rPr>
            </w:pPr>
          </w:p>
        </w:tc>
      </w:tr>
      <w:tr>
        <w:trPr>
          <w:trHeight w:val="80"/>
        </w:trPr>
        <w:tc>
          <w:tcPr>
            <w:tcW w:w="40" w:type="dxa"/>
            <w:vAlign w:val="bottom"/>
            <w:shd w:val="clear" w:color="auto" w:fill="0063A6"/>
          </w:tcPr>
          <w:p>
            <w:pPr>
              <w:spacing w:after="0"/>
              <w:rPr>
                <w:sz w:val="6"/>
                <w:szCs w:val="6"/>
                <w:color w:val="auto"/>
              </w:rPr>
            </w:pPr>
          </w:p>
        </w:tc>
        <w:tc>
          <w:tcPr>
            <w:tcW w:w="3240" w:type="dxa"/>
            <w:vAlign w:val="bottom"/>
            <w:shd w:val="clear" w:color="auto" w:fill="0063A6"/>
          </w:tcPr>
          <w:p>
            <w:pPr>
              <w:spacing w:after="0"/>
              <w:rPr>
                <w:sz w:val="6"/>
                <w:szCs w:val="6"/>
                <w:color w:val="auto"/>
              </w:rPr>
            </w:pPr>
          </w:p>
        </w:tc>
        <w:tc>
          <w:tcPr>
            <w:tcW w:w="1620" w:type="dxa"/>
            <w:vAlign w:val="bottom"/>
            <w:shd w:val="clear" w:color="auto" w:fill="0063A6"/>
          </w:tcPr>
          <w:p>
            <w:pPr>
              <w:spacing w:after="0"/>
              <w:rPr>
                <w:sz w:val="6"/>
                <w:szCs w:val="6"/>
                <w:color w:val="auto"/>
              </w:rPr>
            </w:pPr>
          </w:p>
        </w:tc>
        <w:tc>
          <w:tcPr>
            <w:tcW w:w="200" w:type="dxa"/>
            <w:vAlign w:val="bottom"/>
            <w:shd w:val="clear" w:color="auto" w:fill="0063A6"/>
          </w:tcPr>
          <w:p>
            <w:pPr>
              <w:spacing w:after="0"/>
              <w:rPr>
                <w:sz w:val="6"/>
                <w:szCs w:val="6"/>
                <w:color w:val="auto"/>
              </w:rPr>
            </w:pPr>
          </w:p>
        </w:tc>
        <w:tc>
          <w:tcPr>
            <w:tcW w:w="230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180" w:type="dxa"/>
            <w:vAlign w:val="bottom"/>
            <w:shd w:val="clear" w:color="auto" w:fill="0063A6"/>
          </w:tcPr>
          <w:p>
            <w:pPr>
              <w:spacing w:after="0"/>
              <w:rPr>
                <w:sz w:val="6"/>
                <w:szCs w:val="6"/>
                <w:color w:val="auto"/>
              </w:rPr>
            </w:pPr>
          </w:p>
        </w:tc>
        <w:tc>
          <w:tcPr>
            <w:tcW w:w="174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1620" w:type="dxa"/>
            <w:vAlign w:val="bottom"/>
            <w:shd w:val="clear" w:color="auto" w:fill="F2F2F2"/>
          </w:tcPr>
          <w:p>
            <w:pPr>
              <w:ind w:left="15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2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740" w:type="dxa"/>
            <w:vAlign w:val="bottom"/>
            <w:shd w:val="clear" w:color="auto" w:fill="F2F2F2"/>
          </w:tcPr>
          <w:p>
            <w:pPr>
              <w:ind w:left="580"/>
              <w:spacing w:after="0"/>
              <w:rPr>
                <w:sz w:val="20"/>
                <w:szCs w:val="20"/>
                <w:color w:val="auto"/>
              </w:rPr>
            </w:pPr>
            <w:r>
              <w:rPr>
                <w:rFonts w:ascii="Arial" w:cs="Arial" w:eastAsia="Arial" w:hAnsi="Arial"/>
                <w:sz w:val="16"/>
                <w:szCs w:val="16"/>
                <w:color w:val="auto"/>
              </w:rPr>
              <w:t>625,000</w:t>
            </w:r>
          </w:p>
        </w:tc>
        <w:tc>
          <w:tcPr>
            <w:tcW w:w="1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324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23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7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r>
      <w:tr>
        <w:trPr>
          <w:trHeight w:val="41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1620" w:type="dxa"/>
            <w:vAlign w:val="bottom"/>
          </w:tcPr>
          <w:p>
            <w:pPr>
              <w:ind w:left="152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2300" w:type="dxa"/>
            <w:vAlign w:val="bottom"/>
          </w:tcPr>
          <w:p>
            <w:pPr>
              <w:jc w:val="right"/>
              <w:ind w:right="843"/>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6"/>
                <w:szCs w:val="16"/>
                <w:color w:val="auto"/>
              </w:rPr>
              <w:t xml:space="preserve">339,967 </w:t>
            </w:r>
            <w:r>
              <w:rPr>
                <w:rFonts w:ascii="Arial" w:cs="Arial" w:eastAsia="Arial" w:hAnsi="Arial"/>
                <w:sz w:val="26"/>
                <w:szCs w:val="26"/>
                <w:color w:val="auto"/>
                <w:vertAlign w:val="superscript"/>
              </w:rPr>
              <w:t>(1)</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24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1620" w:type="dxa"/>
            <w:vAlign w:val="bottom"/>
            <w:shd w:val="clear" w:color="auto" w:fill="F2F2F2"/>
          </w:tcPr>
          <w:p>
            <w:pPr>
              <w:ind w:left="152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2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740" w:type="dxa"/>
            <w:vAlign w:val="bottom"/>
            <w:shd w:val="clear" w:color="auto" w:fill="F2F2F2"/>
          </w:tcPr>
          <w:p>
            <w:pPr>
              <w:ind w:left="580"/>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324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23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7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1620" w:type="dxa"/>
            <w:vAlign w:val="bottom"/>
          </w:tcPr>
          <w:p>
            <w:pPr>
              <w:ind w:left="1520"/>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Arial" w:cs="Arial" w:eastAsia="Arial" w:hAnsi="Arial"/>
                <w:sz w:val="4"/>
                <w:szCs w:val="4"/>
                <w:color w:val="auto"/>
              </w:rPr>
              <w:t>​</w:t>
            </w:r>
          </w:p>
        </w:tc>
        <w:tc>
          <w:tcPr>
            <w:tcW w:w="2300" w:type="dxa"/>
            <w:vAlign w:val="bottom"/>
          </w:tcPr>
          <w:p>
            <w:pPr>
              <w:jc w:val="right"/>
              <w:ind w:right="843"/>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6"/>
                <w:szCs w:val="16"/>
                <w:color w:val="auto"/>
              </w:rPr>
              <w:t>308,750</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r>
    </w:tbl>
    <w:p>
      <w:pPr>
        <w:spacing w:after="0" w:line="92" w:lineRule="exact"/>
        <w:rPr>
          <w:sz w:val="20"/>
          <w:szCs w:val="20"/>
          <w:color w:val="auto"/>
        </w:rPr>
      </w:pPr>
    </w:p>
    <w:p>
      <w:pPr>
        <w:ind w:left="244" w:hanging="244"/>
        <w:spacing w:after="0"/>
        <w:tabs>
          <w:tab w:leader="none" w:pos="244"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Mr. Regan’s target annual cash bonus opportunity is prorated for salary changes throughout 2022.</w:t>
      </w:r>
    </w:p>
    <w:p>
      <w:pPr>
        <w:spacing w:after="0" w:line="149" w:lineRule="exact"/>
        <w:rPr>
          <w:sz w:val="20"/>
          <w:szCs w:val="20"/>
          <w:color w:val="auto"/>
        </w:rPr>
      </w:pPr>
    </w:p>
    <w:p>
      <w:pPr>
        <w:ind w:left="4" w:right="320"/>
        <w:spacing w:after="0" w:line="260" w:lineRule="auto"/>
        <w:rPr>
          <w:sz w:val="20"/>
          <w:szCs w:val="20"/>
          <w:color w:val="auto"/>
        </w:rPr>
      </w:pPr>
      <w:r>
        <w:rPr>
          <w:rFonts w:ascii="Arial" w:cs="Arial" w:eastAsia="Arial" w:hAnsi="Arial"/>
          <w:sz w:val="16"/>
          <w:szCs w:val="16"/>
          <w:color w:val="auto"/>
        </w:rPr>
        <w:t>Potential annual cash bonus payments for our executive officers under the 2022 Cash Bonus Plan ranged from zero to 187.5% of their target annual cash bonus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191135</wp:posOffset>
            </wp:positionV>
            <wp:extent cx="4843145" cy="12426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4314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6"/>
          <w:szCs w:val="16"/>
          <w:color w:val="auto"/>
        </w:rPr>
        <w:t> </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Performance Measure</w:t>
      </w:r>
    </w:p>
    <w:p>
      <w:pPr>
        <w:spacing w:after="0" w:line="187"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The talent and compensation committee approved annual revenue (weighted 67%) and non-GAAP operating margin (weighted 33%) as components of the corporate performance measure under the 2022 Cash Bonus Plan because we believe incorporating both annual revenue and non-GAAP operating margin aligns with our emphasis on driving profitable growth. For purposes of the 2022 Cash Bonus Plan, “annual revenue” was calculated by excluding the impact of foreign exchange from our annual revenue reflected in our audited financial statements for the 2022 fiscal year as well as normalized for the impact of the conflict in Ukraine. For purposes of the 2022 Cash Bonus plan, “non-GAAP operating margin” was calculated to exclude the impact of stock-based compensation expense, acquisition-related and other expenses, amortization of acquired intangible assets and impairment charges related to real estate assets.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March 2022, the talent and compensation committee set the target performance levels under the 2022 Cash Bonus Plan at</w:t>
      </w:r>
    </w:p>
    <w:p>
      <w:pPr>
        <w:spacing w:after="0" w:line="5" w:lineRule="exact"/>
        <w:rPr>
          <w:sz w:val="20"/>
          <w:szCs w:val="20"/>
          <w:color w:val="auto"/>
        </w:rPr>
      </w:pPr>
    </w:p>
    <w:p>
      <w:pPr>
        <w:ind w:left="4" w:right="240" w:hanging="4"/>
        <w:spacing w:after="0" w:line="251" w:lineRule="auto"/>
        <w:tabs>
          <w:tab w:leader="none" w:pos="1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$2,348 million for annual revenue and (ii) 29.7% for non-GAAP operating margin. In addition, the talent and compensation committee approved the performance matrix for funding the 2022 Cash Bonus Plan (as described below), with a 10% reduction to actual payouts to our named executive officers if the company’s stock-based compensation expense exceeded $332 million for the 2022 fiscal year.</w:t>
      </w:r>
    </w:p>
    <w:p>
      <w:pPr>
        <w:spacing w:after="0" w:line="148"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With respect to the annual revenue component, the bonus funding was 0% if we did not achieve annual revenue at the threshold revenue performance level. At 98% of the target revenue performance level, the annual revenue bonus funding percentage was 75%. For annual revenue above the 98% of target performance level and below 99% the target performance level, the annual revenue bonus funding percentage increased linearly up to an annual revenue bonus funding percentage of 95%. For revenue performance ± 1% of the target revenue number, the annual revenue bonus funding percentage increased linearly from 95% to 105%. For revenue performance from 101% of the target revenue performance level to 102% of the target revenue performance level, the annual revenue bonus funding percentage increased linearly up to 125%. The maximum annual revenue bonus funding percentage is 125%.</w:t>
      </w:r>
    </w:p>
    <w:p>
      <w:pPr>
        <w:spacing w:after="0" w:line="19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With respect to the non-GAAP operating margin component, the bonus funding was 0% if we did not achieve non-GAAP operating margin at the threshold performance level of 26.7%. At the threshold non-GAAP operating margin performance level, the non-GAAP operating margin bonus funding percentage was 75%. For non-GAAP operating margin above the threshold performance level, the non-GAAP operating margin bonus funding percentage increased linearly up to the maximum non-GAAP operating margin bonus funding percentage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077585" cy="702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7585" cy="70294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240" w:type="dxa"/>
            <w:vAlign w:val="bottom"/>
            <w:shd w:val="clear" w:color="auto" w:fill="0063A6"/>
          </w:tcPr>
          <w:p>
            <w:pPr>
              <w:spacing w:after="0"/>
              <w:rPr>
                <w:sz w:val="24"/>
                <w:szCs w:val="24"/>
                <w:color w:val="auto"/>
              </w:rPr>
            </w:pPr>
          </w:p>
        </w:tc>
        <w:tc>
          <w:tcPr>
            <w:tcW w:w="1280" w:type="dxa"/>
            <w:vAlign w:val="bottom"/>
            <w:shd w:val="clear" w:color="auto" w:fill="0063A6"/>
          </w:tcPr>
          <w:p>
            <w:pPr>
              <w:ind w:left="1100"/>
              <w:spacing w:after="0"/>
              <w:rPr>
                <w:sz w:val="20"/>
                <w:szCs w:val="20"/>
                <w:color w:val="auto"/>
              </w:rPr>
            </w:pPr>
            <w:r>
              <w:rPr>
                <w:rFonts w:ascii="Arial" w:cs="Arial" w:eastAsia="Arial" w:hAnsi="Arial"/>
                <w:sz w:val="4"/>
                <w:szCs w:val="4"/>
                <w:color w:val="auto"/>
              </w:rPr>
              <w:t>​</w:t>
            </w:r>
          </w:p>
        </w:tc>
        <w:tc>
          <w:tcPr>
            <w:tcW w:w="36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820" w:type="dxa"/>
            <w:vAlign w:val="bottom"/>
            <w:gridSpan w:val="2"/>
            <w:shd w:val="clear" w:color="auto" w:fill="0063A6"/>
          </w:tcPr>
          <w:p>
            <w:pPr>
              <w:jc w:val="right"/>
              <w:ind w:right="162"/>
              <w:spacing w:after="0"/>
              <w:rPr>
                <w:sz w:val="20"/>
                <w:szCs w:val="20"/>
                <w:color w:val="auto"/>
              </w:rPr>
            </w:pPr>
            <w:r>
              <w:rPr>
                <w:rFonts w:ascii="Arial" w:cs="Arial" w:eastAsia="Arial" w:hAnsi="Arial"/>
                <w:sz w:val="14"/>
                <w:szCs w:val="14"/>
                <w:b w:val="1"/>
                <w:bCs w:val="1"/>
                <w:color w:val="FFFFFF"/>
              </w:rPr>
              <w:t>Weight</w:t>
            </w:r>
            <w:r>
              <w:rPr>
                <w:rFonts w:ascii="Arial" w:cs="Arial" w:eastAsia="Arial" w:hAnsi="Arial"/>
                <w:sz w:val="3"/>
                <w:szCs w:val="3"/>
                <w:color w:val="000000"/>
              </w:rPr>
              <w:t>​</w:t>
            </w:r>
          </w:p>
        </w:tc>
        <w:tc>
          <w:tcPr>
            <w:tcW w:w="34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040" w:type="dxa"/>
            <w:vAlign w:val="bottom"/>
            <w:gridSpan w:val="2"/>
            <w:shd w:val="clear" w:color="auto" w:fill="0063A6"/>
          </w:tcPr>
          <w:p>
            <w:pPr>
              <w:jc w:val="right"/>
              <w:ind w:right="162"/>
              <w:spacing w:after="0"/>
              <w:rPr>
                <w:sz w:val="20"/>
                <w:szCs w:val="20"/>
                <w:color w:val="auto"/>
              </w:rPr>
            </w:pPr>
            <w:r>
              <w:rPr>
                <w:rFonts w:ascii="Arial" w:cs="Arial" w:eastAsia="Arial" w:hAnsi="Arial"/>
                <w:sz w:val="14"/>
                <w:szCs w:val="14"/>
                <w:b w:val="1"/>
                <w:bCs w:val="1"/>
                <w:color w:val="FFFFFF"/>
              </w:rPr>
              <w:t>Threshold</w:t>
            </w:r>
            <w:r>
              <w:rPr>
                <w:rFonts w:ascii="Arial" w:cs="Arial" w:eastAsia="Arial" w:hAnsi="Arial"/>
                <w:sz w:val="3"/>
                <w:szCs w:val="3"/>
                <w:color w:val="000000"/>
              </w:rPr>
              <w:t>​</w:t>
            </w:r>
          </w:p>
        </w:tc>
        <w:tc>
          <w:tcPr>
            <w:tcW w:w="34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840" w:type="dxa"/>
            <w:vAlign w:val="bottom"/>
            <w:shd w:val="clear" w:color="auto" w:fill="0063A6"/>
          </w:tcPr>
          <w:p>
            <w:pPr>
              <w:jc w:val="right"/>
              <w:ind w:right="102"/>
              <w:spacing w:after="0"/>
              <w:rPr>
                <w:sz w:val="20"/>
                <w:szCs w:val="20"/>
                <w:color w:val="auto"/>
              </w:rPr>
            </w:pPr>
            <w:r>
              <w:rPr>
                <w:rFonts w:ascii="Arial" w:cs="Arial" w:eastAsia="Arial" w:hAnsi="Arial"/>
                <w:sz w:val="14"/>
                <w:szCs w:val="14"/>
                <w:b w:val="1"/>
                <w:bCs w:val="1"/>
                <w:color w:val="FFFFFF"/>
              </w:rPr>
              <w:t xml:space="preserve">Target </w:t>
            </w:r>
            <w:r>
              <w:rPr>
                <w:rFonts w:ascii="Arial" w:cs="Arial" w:eastAsia="Arial" w:hAnsi="Arial"/>
                <w:sz w:val="3"/>
                <w:szCs w:val="3"/>
                <w:color w:val="000000"/>
              </w:rPr>
              <w:t>​</w:t>
            </w:r>
          </w:p>
        </w:tc>
        <w:tc>
          <w:tcPr>
            <w:tcW w:w="34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92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Maximum</w:t>
            </w:r>
            <w:r>
              <w:rPr>
                <w:rFonts w:ascii="Arial" w:cs="Arial" w:eastAsia="Arial" w:hAnsi="Arial"/>
                <w:sz w:val="3"/>
                <w:szCs w:val="3"/>
                <w:color w:val="000000"/>
              </w:rPr>
              <w:t>​</w:t>
            </w:r>
          </w:p>
        </w:tc>
      </w:tr>
      <w:tr>
        <w:trPr>
          <w:trHeight w:val="79"/>
        </w:trPr>
        <w:tc>
          <w:tcPr>
            <w:tcW w:w="3280" w:type="dxa"/>
            <w:vAlign w:val="bottom"/>
            <w:gridSpan w:val="2"/>
            <w:shd w:val="clear" w:color="auto" w:fill="0063A6"/>
          </w:tcPr>
          <w:p>
            <w:pPr>
              <w:spacing w:after="0"/>
              <w:rPr>
                <w:sz w:val="6"/>
                <w:szCs w:val="6"/>
                <w:color w:val="auto"/>
              </w:rPr>
            </w:pPr>
          </w:p>
        </w:tc>
        <w:tc>
          <w:tcPr>
            <w:tcW w:w="1280" w:type="dxa"/>
            <w:vAlign w:val="bottom"/>
            <w:shd w:val="clear" w:color="auto" w:fill="0063A6"/>
          </w:tcPr>
          <w:p>
            <w:pPr>
              <w:spacing w:after="0"/>
              <w:rPr>
                <w:sz w:val="6"/>
                <w:szCs w:val="6"/>
                <w:color w:val="auto"/>
              </w:rPr>
            </w:pPr>
          </w:p>
        </w:tc>
        <w:tc>
          <w:tcPr>
            <w:tcW w:w="360" w:type="dxa"/>
            <w:vAlign w:val="bottom"/>
            <w:shd w:val="clear" w:color="auto" w:fill="0063A6"/>
          </w:tcPr>
          <w:p>
            <w:pPr>
              <w:spacing w:after="0"/>
              <w:rPr>
                <w:sz w:val="6"/>
                <w:szCs w:val="6"/>
                <w:color w:val="auto"/>
              </w:rPr>
            </w:pPr>
          </w:p>
        </w:tc>
        <w:tc>
          <w:tcPr>
            <w:tcW w:w="600" w:type="dxa"/>
            <w:vAlign w:val="bottom"/>
            <w:shd w:val="clear" w:color="auto" w:fill="0063A6"/>
          </w:tcPr>
          <w:p>
            <w:pPr>
              <w:spacing w:after="0"/>
              <w:rPr>
                <w:sz w:val="6"/>
                <w:szCs w:val="6"/>
                <w:color w:val="auto"/>
              </w:rPr>
            </w:pPr>
          </w:p>
        </w:tc>
        <w:tc>
          <w:tcPr>
            <w:tcW w:w="220" w:type="dxa"/>
            <w:vAlign w:val="bottom"/>
            <w:shd w:val="clear" w:color="auto" w:fill="0063A6"/>
          </w:tcPr>
          <w:p>
            <w:pPr>
              <w:spacing w:after="0"/>
              <w:rPr>
                <w:sz w:val="6"/>
                <w:szCs w:val="6"/>
                <w:color w:val="auto"/>
              </w:rPr>
            </w:pPr>
          </w:p>
        </w:tc>
        <w:tc>
          <w:tcPr>
            <w:tcW w:w="340" w:type="dxa"/>
            <w:vAlign w:val="bottom"/>
            <w:shd w:val="clear" w:color="auto" w:fill="0063A6"/>
          </w:tcPr>
          <w:p>
            <w:pPr>
              <w:spacing w:after="0"/>
              <w:rPr>
                <w:sz w:val="6"/>
                <w:szCs w:val="6"/>
                <w:color w:val="auto"/>
              </w:rPr>
            </w:pPr>
          </w:p>
        </w:tc>
        <w:tc>
          <w:tcPr>
            <w:tcW w:w="80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340" w:type="dxa"/>
            <w:vAlign w:val="bottom"/>
            <w:shd w:val="clear" w:color="auto" w:fill="0063A6"/>
          </w:tcPr>
          <w:p>
            <w:pPr>
              <w:spacing w:after="0"/>
              <w:rPr>
                <w:sz w:val="6"/>
                <w:szCs w:val="6"/>
                <w:color w:val="auto"/>
              </w:rPr>
            </w:pPr>
          </w:p>
        </w:tc>
        <w:tc>
          <w:tcPr>
            <w:tcW w:w="840" w:type="dxa"/>
            <w:vAlign w:val="bottom"/>
            <w:shd w:val="clear" w:color="auto" w:fill="0063A6"/>
          </w:tcPr>
          <w:p>
            <w:pPr>
              <w:spacing w:after="0"/>
              <w:rPr>
                <w:sz w:val="6"/>
                <w:szCs w:val="6"/>
                <w:color w:val="auto"/>
              </w:rPr>
            </w:pPr>
          </w:p>
        </w:tc>
        <w:tc>
          <w:tcPr>
            <w:tcW w:w="340" w:type="dxa"/>
            <w:vAlign w:val="bottom"/>
            <w:shd w:val="clear" w:color="auto" w:fill="0063A6"/>
          </w:tcPr>
          <w:p>
            <w:pPr>
              <w:spacing w:after="0"/>
              <w:rPr>
                <w:sz w:val="6"/>
                <w:szCs w:val="6"/>
                <w:color w:val="auto"/>
              </w:rPr>
            </w:pPr>
          </w:p>
        </w:tc>
        <w:tc>
          <w:tcPr>
            <w:tcW w:w="78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r>
      <w:tr>
        <w:trPr>
          <w:trHeight w:val="291"/>
        </w:trPr>
        <w:tc>
          <w:tcPr>
            <w:tcW w:w="328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Revenue ($M)</w:t>
            </w:r>
          </w:p>
        </w:tc>
        <w:tc>
          <w:tcPr>
            <w:tcW w:w="1280" w:type="dxa"/>
            <w:vAlign w:val="bottom"/>
            <w:shd w:val="clear" w:color="auto" w:fill="F2F2F2"/>
          </w:tcPr>
          <w:p>
            <w:pPr>
              <w:ind w:left="1100"/>
              <w:spacing w:after="0"/>
              <w:rPr>
                <w:sz w:val="20"/>
                <w:szCs w:val="20"/>
                <w:color w:val="auto"/>
              </w:rPr>
            </w:pPr>
            <w:r>
              <w:rPr>
                <w:rFonts w:ascii="Arial" w:cs="Arial" w:eastAsia="Arial" w:hAnsi="Arial"/>
                <w:sz w:val="4"/>
                <w:szCs w:val="4"/>
                <w:color w:val="auto"/>
              </w:rPr>
              <w:t>​</w:t>
            </w:r>
          </w:p>
        </w:tc>
        <w:tc>
          <w:tcPr>
            <w:tcW w:w="36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6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F2F2F2"/>
          </w:tcPr>
          <w:p>
            <w:pPr>
              <w:jc w:val="right"/>
              <w:ind w:right="162"/>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$2,301</w:t>
            </w:r>
          </w:p>
        </w:tc>
        <w:tc>
          <w:tcPr>
            <w:tcW w:w="240" w:type="dxa"/>
            <w:vAlign w:val="bottom"/>
            <w:shd w:val="clear" w:color="auto" w:fill="F2F2F2"/>
          </w:tcPr>
          <w:p>
            <w:pPr>
              <w:jc w:val="right"/>
              <w:ind w:right="162"/>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840" w:type="dxa"/>
            <w:vAlign w:val="bottom"/>
            <w:shd w:val="clear" w:color="auto" w:fill="F2F2F2"/>
          </w:tcPr>
          <w:p>
            <w:pPr>
              <w:jc w:val="right"/>
              <w:ind w:right="102"/>
              <w:spacing w:after="0"/>
              <w:rPr>
                <w:sz w:val="20"/>
                <w:szCs w:val="20"/>
                <w:color w:val="auto"/>
              </w:rPr>
            </w:pPr>
            <w:r>
              <w:rPr>
                <w:rFonts w:ascii="Arial" w:cs="Arial" w:eastAsia="Arial" w:hAnsi="Arial"/>
                <w:sz w:val="16"/>
                <w:szCs w:val="16"/>
                <w:color w:val="auto"/>
              </w:rPr>
              <w:t>$2,348</w:t>
            </w:r>
            <w:r>
              <w:rPr>
                <w:rFonts w:ascii="Arial" w:cs="Arial" w:eastAsia="Arial" w:hAnsi="Arial"/>
                <w:sz w:val="3"/>
                <w:szCs w:val="3"/>
                <w:color w:val="auto"/>
              </w:rPr>
              <w:t>​</w:t>
            </w:r>
          </w:p>
        </w:tc>
        <w:tc>
          <w:tcPr>
            <w:tcW w:w="3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7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$2,395</w:t>
            </w:r>
          </w:p>
        </w:tc>
        <w:tc>
          <w:tcPr>
            <w:tcW w:w="1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324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360" w:type="dxa"/>
            <w:vAlign w:val="bottom"/>
            <w:shd w:val="clear" w:color="auto" w:fill="F2F2F2"/>
          </w:tcPr>
          <w:p>
            <w:pPr>
              <w:spacing w:after="0"/>
              <w:rPr>
                <w:sz w:val="7"/>
                <w:szCs w:val="7"/>
                <w:color w:val="auto"/>
              </w:rPr>
            </w:pPr>
          </w:p>
        </w:tc>
        <w:tc>
          <w:tcPr>
            <w:tcW w:w="60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280" w:type="dxa"/>
            <w:vAlign w:val="bottom"/>
          </w:tcPr>
          <w:p>
            <w:pPr>
              <w:ind w:left="1100"/>
              <w:spacing w:after="0"/>
              <w:rPr>
                <w:sz w:val="20"/>
                <w:szCs w:val="20"/>
                <w:color w:val="auto"/>
              </w:rPr>
            </w:pPr>
            <w:r>
              <w:rPr>
                <w:rFonts w:ascii="Arial" w:cs="Arial" w:eastAsia="Arial" w:hAnsi="Arial"/>
                <w:sz w:val="4"/>
                <w:szCs w:val="4"/>
                <w:color w:val="auto"/>
              </w:rPr>
              <w:t>​</w:t>
            </w:r>
          </w:p>
        </w:tc>
        <w:tc>
          <w:tcPr>
            <w:tcW w:w="360" w:type="dxa"/>
            <w:vAlign w:val="bottom"/>
          </w:tcPr>
          <w:p>
            <w:pPr>
              <w:ind w:left="180"/>
              <w:spacing w:after="0"/>
              <w:rPr>
                <w:sz w:val="20"/>
                <w:szCs w:val="20"/>
                <w:color w:val="auto"/>
              </w:rPr>
            </w:pPr>
            <w:r>
              <w:rPr>
                <w:rFonts w:ascii="Arial" w:cs="Arial" w:eastAsia="Arial" w:hAnsi="Arial"/>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jc w:val="right"/>
              <w:ind w:right="162"/>
              <w:spacing w:after="0"/>
              <w:rPr>
                <w:sz w:val="20"/>
                <w:szCs w:val="20"/>
                <w:color w:val="auto"/>
              </w:rPr>
            </w:pPr>
            <w:r>
              <w:rPr>
                <w:rFonts w:ascii="Arial" w:cs="Arial" w:eastAsia="Arial" w:hAnsi="Arial"/>
                <w:sz w:val="4"/>
                <w:szCs w:val="4"/>
                <w:color w:val="auto"/>
              </w:rPr>
              <w:t>​</w:t>
            </w:r>
          </w:p>
        </w:tc>
        <w:tc>
          <w:tcPr>
            <w:tcW w:w="340" w:type="dxa"/>
            <w:vAlign w:val="bottom"/>
          </w:tcPr>
          <w:p>
            <w:pPr>
              <w:ind w:left="180"/>
              <w:spacing w:after="0"/>
              <w:rPr>
                <w:sz w:val="20"/>
                <w:szCs w:val="20"/>
                <w:color w:val="auto"/>
              </w:rPr>
            </w:pPr>
            <w:r>
              <w:rPr>
                <w:rFonts w:ascii="Arial" w:cs="Arial" w:eastAsia="Arial" w:hAnsi="Arial"/>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26.7%</w:t>
            </w:r>
          </w:p>
        </w:tc>
        <w:tc>
          <w:tcPr>
            <w:tcW w:w="240" w:type="dxa"/>
            <w:vAlign w:val="bottom"/>
          </w:tcPr>
          <w:p>
            <w:pPr>
              <w:jc w:val="right"/>
              <w:ind w:right="162"/>
              <w:spacing w:after="0"/>
              <w:rPr>
                <w:sz w:val="20"/>
                <w:szCs w:val="20"/>
                <w:color w:val="auto"/>
              </w:rPr>
            </w:pPr>
            <w:r>
              <w:rPr>
                <w:rFonts w:ascii="Arial" w:cs="Arial" w:eastAsia="Arial" w:hAnsi="Arial"/>
                <w:sz w:val="4"/>
                <w:szCs w:val="4"/>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 xml:space="preserve">29.7% </w:t>
            </w:r>
            <w:r>
              <w:rPr>
                <w:rFonts w:ascii="Arial" w:cs="Arial" w:eastAsia="Arial" w:hAnsi="Arial"/>
                <w:sz w:val="3"/>
                <w:szCs w:val="3"/>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6060440" cy="1671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6044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determining the amount of annual cash bonus payments under the 2022 Cash Bonus Plan, the talent and compensation committee considered an evaluation of each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2022 Annual Cash Bonus Decisions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March 2023, the talent and compensation committee, based on its evaluation, determined the size of the bonus pool based on our performance during 2022 and determined the cash bonus payments for our executive officers, including our named executive officers, pursuant to the 2022 Cash Bonus Plan. The talent and compensation committee reviewed our actual annual revenue performance for 2022 and determined that we had achieved annual revenue of $2,357 million, which was 100.4% of our annual revenue target for the year. In addition, the talent and compensation committee determined that we had achieved non-GAAP operating margin of 30.9% compared to our target of 29.7% for the year. The talent and compensation committee approved a bonus funding percentage of 104.5% with respect to the corporate performance measure.</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Chief Executive Officer evaluated the achievement of each other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2022 and formulated a recommended annual cash bonus payment for him based on the subjective assessment of his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44" w:name="page45"/>
    <w:bookmarkEnd w:id="44"/>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right="360"/>
        <w:spacing w:after="0" w:line="253" w:lineRule="auto"/>
        <w:rPr>
          <w:sz w:val="20"/>
          <w:szCs w:val="20"/>
          <w:color w:val="auto"/>
        </w:rPr>
      </w:pPr>
      <w:r>
        <w:rPr>
          <w:rFonts w:ascii="Arial" w:cs="Arial" w:eastAsia="Arial" w:hAnsi="Arial"/>
          <w:sz w:val="16"/>
          <w:szCs w:val="16"/>
          <w:color w:val="auto"/>
        </w:rPr>
        <w:t>Based on these evaluations, the talent and compensation committee approved the annual cash bonus payments for our named executive officers for 2022 in the table below. Since stock-based compensation expense did not exceed $332 million for the 2022 fiscal year, there was no reduction to the annual cash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6077585" cy="128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7585" cy="1285875"/>
                    </a:xfrm>
                    <a:prstGeom prst="rect">
                      <a:avLst/>
                    </a:prstGeom>
                    <a:noFill/>
                  </pic:spPr>
                </pic:pic>
              </a:graphicData>
            </a:graphic>
          </wp:anchor>
        </w:drawing>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260" w:type="dxa"/>
            <w:vAlign w:val="bottom"/>
            <w:vMerge w:val="restart"/>
            <w:shd w:val="clear" w:color="auto" w:fill="0063A6"/>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700" w:type="dxa"/>
            <w:vAlign w:val="bottom"/>
            <w:shd w:val="clear" w:color="auto" w:fill="0063A6"/>
          </w:tcPr>
          <w:p>
            <w:pPr>
              <w:ind w:left="54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660" w:type="dxa"/>
            <w:vAlign w:val="bottom"/>
            <w:gridSpan w:val="2"/>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w w:val="99"/>
              </w:rPr>
              <w:t xml:space="preserve">Target Annual Cash </w:t>
            </w:r>
            <w:r>
              <w:rPr>
                <w:rFonts w:ascii="Arial" w:cs="Arial" w:eastAsia="Arial" w:hAnsi="Arial"/>
                <w:sz w:val="7"/>
                <w:szCs w:val="7"/>
                <w:color w:val="000000"/>
                <w:w w:val="99"/>
                <w:vertAlign w:val="subscript"/>
              </w:rPr>
              <w:t>​</w:t>
            </w:r>
          </w:p>
        </w:tc>
        <w:tc>
          <w:tcPr>
            <w:tcW w:w="34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1680" w:type="dxa"/>
            <w:vAlign w:val="bottom"/>
            <w:gridSpan w:val="2"/>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 xml:space="preserve">Annual Cash Bonus </w:t>
            </w:r>
            <w:r>
              <w:rPr>
                <w:rFonts w:ascii="Arial" w:cs="Arial" w:eastAsia="Arial" w:hAnsi="Arial"/>
                <w:sz w:val="7"/>
                <w:szCs w:val="7"/>
                <w:color w:val="000000"/>
                <w:vertAlign w:val="subscript"/>
              </w:rPr>
              <w:t>​</w:t>
            </w:r>
          </w:p>
        </w:tc>
        <w:tc>
          <w:tcPr>
            <w:tcW w:w="34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2200" w:type="dxa"/>
            <w:vAlign w:val="bottom"/>
            <w:gridSpan w:val="2"/>
            <w:shd w:val="clear" w:color="auto" w:fill="0063A6"/>
          </w:tcPr>
          <w:p>
            <w:pPr>
              <w:jc w:val="center"/>
              <w:spacing w:after="0"/>
              <w:rPr>
                <w:sz w:val="20"/>
                <w:szCs w:val="20"/>
                <w:color w:val="auto"/>
              </w:rPr>
            </w:pPr>
            <w:r>
              <w:rPr>
                <w:rFonts w:ascii="Arial" w:cs="Arial" w:eastAsia="Arial" w:hAnsi="Arial"/>
                <w:sz w:val="14"/>
                <w:szCs w:val="14"/>
                <w:b w:val="1"/>
                <w:bCs w:val="1"/>
                <w:color w:val="FFFFFF"/>
              </w:rPr>
              <w:t xml:space="preserve">Percentage of Target Annual </w:t>
            </w:r>
            <w:r>
              <w:rPr>
                <w:rFonts w:ascii="Arial" w:cs="Arial" w:eastAsia="Arial" w:hAnsi="Arial"/>
                <w:sz w:val="7"/>
                <w:szCs w:val="7"/>
                <w:color w:val="000000"/>
                <w:vertAlign w:val="subscript"/>
              </w:rPr>
              <w:t>​</w:t>
            </w:r>
          </w:p>
        </w:tc>
        <w:tc>
          <w:tcPr>
            <w:tcW w:w="0" w:type="dxa"/>
            <w:vAlign w:val="bottom"/>
          </w:tcPr>
          <w:p>
            <w:pPr>
              <w:spacing w:after="0"/>
              <w:rPr>
                <w:sz w:val="1"/>
                <w:szCs w:val="1"/>
                <w:color w:val="auto"/>
              </w:rPr>
            </w:pPr>
          </w:p>
        </w:tc>
      </w:tr>
      <w:tr>
        <w:trPr>
          <w:trHeight w:val="190"/>
        </w:trPr>
        <w:tc>
          <w:tcPr>
            <w:tcW w:w="40" w:type="dxa"/>
            <w:vAlign w:val="bottom"/>
            <w:shd w:val="clear" w:color="auto" w:fill="0063A6"/>
          </w:tcPr>
          <w:p>
            <w:pPr>
              <w:spacing w:after="0"/>
              <w:rPr>
                <w:sz w:val="16"/>
                <w:szCs w:val="16"/>
                <w:color w:val="auto"/>
              </w:rPr>
            </w:pPr>
          </w:p>
        </w:tc>
        <w:tc>
          <w:tcPr>
            <w:tcW w:w="2260" w:type="dxa"/>
            <w:vAlign w:val="bottom"/>
            <w:vMerge w:val="continue"/>
            <w:shd w:val="clear" w:color="auto" w:fill="0063A6"/>
          </w:tcPr>
          <w:p>
            <w:pPr>
              <w:spacing w:after="0"/>
              <w:rPr>
                <w:sz w:val="16"/>
                <w:szCs w:val="16"/>
                <w:color w:val="auto"/>
              </w:rPr>
            </w:pPr>
          </w:p>
        </w:tc>
        <w:tc>
          <w:tcPr>
            <w:tcW w:w="700" w:type="dxa"/>
            <w:vAlign w:val="bottom"/>
            <w:shd w:val="clear" w:color="auto" w:fill="0063A6"/>
          </w:tcPr>
          <w:p>
            <w:pPr>
              <w:spacing w:after="0"/>
              <w:rPr>
                <w:sz w:val="16"/>
                <w:szCs w:val="16"/>
                <w:color w:val="auto"/>
              </w:rPr>
            </w:pPr>
          </w:p>
        </w:tc>
        <w:tc>
          <w:tcPr>
            <w:tcW w:w="340" w:type="dxa"/>
            <w:vAlign w:val="bottom"/>
            <w:shd w:val="clear" w:color="auto" w:fill="0063A6"/>
          </w:tcPr>
          <w:p>
            <w:pPr>
              <w:spacing w:after="0"/>
              <w:rPr>
                <w:sz w:val="16"/>
                <w:szCs w:val="16"/>
                <w:color w:val="auto"/>
              </w:rPr>
            </w:pPr>
          </w:p>
        </w:tc>
        <w:tc>
          <w:tcPr>
            <w:tcW w:w="1480" w:type="dxa"/>
            <w:vAlign w:val="bottom"/>
            <w:shd w:val="clear" w:color="auto" w:fill="0063A6"/>
          </w:tcPr>
          <w:p>
            <w:pPr>
              <w:jc w:val="center"/>
              <w:ind w:left="62"/>
              <w:spacing w:after="0"/>
              <w:rPr>
                <w:sz w:val="20"/>
                <w:szCs w:val="20"/>
                <w:color w:val="auto"/>
              </w:rPr>
            </w:pPr>
            <w:r>
              <w:rPr>
                <w:rFonts w:ascii="Arial" w:cs="Arial" w:eastAsia="Arial" w:hAnsi="Arial"/>
                <w:sz w:val="14"/>
                <w:szCs w:val="14"/>
                <w:b w:val="1"/>
                <w:bCs w:val="1"/>
                <w:color w:val="FFFFFF"/>
              </w:rPr>
              <w:t>Bonus Payment ($)</w:t>
            </w:r>
          </w:p>
        </w:tc>
        <w:tc>
          <w:tcPr>
            <w:tcW w:w="180" w:type="dxa"/>
            <w:vAlign w:val="bottom"/>
            <w:shd w:val="clear" w:color="auto" w:fill="0063A6"/>
          </w:tcPr>
          <w:p>
            <w:pPr>
              <w:spacing w:after="0"/>
              <w:rPr>
                <w:sz w:val="16"/>
                <w:szCs w:val="16"/>
                <w:color w:val="auto"/>
              </w:rPr>
            </w:pPr>
          </w:p>
        </w:tc>
        <w:tc>
          <w:tcPr>
            <w:tcW w:w="340" w:type="dxa"/>
            <w:vAlign w:val="bottom"/>
            <w:shd w:val="clear" w:color="auto" w:fill="0063A6"/>
          </w:tcPr>
          <w:p>
            <w:pPr>
              <w:spacing w:after="0"/>
              <w:rPr>
                <w:sz w:val="16"/>
                <w:szCs w:val="16"/>
                <w:color w:val="auto"/>
              </w:rPr>
            </w:pPr>
          </w:p>
        </w:tc>
        <w:tc>
          <w:tcPr>
            <w:tcW w:w="1380" w:type="dxa"/>
            <w:vAlign w:val="bottom"/>
            <w:shd w:val="clear" w:color="auto" w:fill="0063A6"/>
          </w:tcPr>
          <w:p>
            <w:pPr>
              <w:jc w:val="center"/>
              <w:ind w:left="202"/>
              <w:spacing w:after="0"/>
              <w:rPr>
                <w:sz w:val="20"/>
                <w:szCs w:val="20"/>
                <w:color w:val="auto"/>
              </w:rPr>
            </w:pPr>
            <w:r>
              <w:rPr>
                <w:rFonts w:ascii="Arial" w:cs="Arial" w:eastAsia="Arial" w:hAnsi="Arial"/>
                <w:sz w:val="14"/>
                <w:szCs w:val="14"/>
                <w:b w:val="1"/>
                <w:bCs w:val="1"/>
                <w:color w:val="FFFFFF"/>
              </w:rPr>
              <w:t>Payment ($)</w:t>
            </w:r>
          </w:p>
        </w:tc>
        <w:tc>
          <w:tcPr>
            <w:tcW w:w="300" w:type="dxa"/>
            <w:vAlign w:val="bottom"/>
            <w:shd w:val="clear" w:color="auto" w:fill="0063A6"/>
          </w:tcPr>
          <w:p>
            <w:pPr>
              <w:spacing w:after="0"/>
              <w:rPr>
                <w:sz w:val="16"/>
                <w:szCs w:val="16"/>
                <w:color w:val="auto"/>
              </w:rPr>
            </w:pPr>
          </w:p>
        </w:tc>
        <w:tc>
          <w:tcPr>
            <w:tcW w:w="340" w:type="dxa"/>
            <w:vAlign w:val="bottom"/>
            <w:shd w:val="clear" w:color="auto" w:fill="0063A6"/>
          </w:tcPr>
          <w:p>
            <w:pPr>
              <w:spacing w:after="0"/>
              <w:rPr>
                <w:sz w:val="16"/>
                <w:szCs w:val="16"/>
                <w:color w:val="auto"/>
              </w:rPr>
            </w:pPr>
          </w:p>
        </w:tc>
        <w:tc>
          <w:tcPr>
            <w:tcW w:w="2060" w:type="dxa"/>
            <w:vAlign w:val="bottom"/>
            <w:shd w:val="clear" w:color="auto" w:fill="0063A6"/>
          </w:tcPr>
          <w:p>
            <w:pPr>
              <w:jc w:val="center"/>
              <w:ind w:left="122"/>
              <w:spacing w:after="0"/>
              <w:rPr>
                <w:sz w:val="20"/>
                <w:szCs w:val="20"/>
                <w:color w:val="auto"/>
              </w:rPr>
            </w:pPr>
            <w:r>
              <w:rPr>
                <w:rFonts w:ascii="Arial" w:cs="Arial" w:eastAsia="Arial" w:hAnsi="Arial"/>
                <w:sz w:val="14"/>
                <w:szCs w:val="14"/>
                <w:b w:val="1"/>
                <w:bCs w:val="1"/>
                <w:color w:val="FFFFFF"/>
              </w:rPr>
              <w:t>Cash Bonus Actually Paid</w:t>
            </w:r>
          </w:p>
        </w:tc>
        <w:tc>
          <w:tcPr>
            <w:tcW w:w="14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0063A6"/>
          </w:tcPr>
          <w:p>
            <w:pPr>
              <w:spacing w:after="0"/>
              <w:rPr>
                <w:sz w:val="5"/>
                <w:szCs w:val="5"/>
                <w:color w:val="auto"/>
              </w:rPr>
            </w:pPr>
          </w:p>
        </w:tc>
        <w:tc>
          <w:tcPr>
            <w:tcW w:w="2260" w:type="dxa"/>
            <w:vAlign w:val="bottom"/>
            <w:shd w:val="clear" w:color="auto" w:fill="0063A6"/>
          </w:tcPr>
          <w:p>
            <w:pPr>
              <w:spacing w:after="0"/>
              <w:rPr>
                <w:sz w:val="5"/>
                <w:szCs w:val="5"/>
                <w:color w:val="auto"/>
              </w:rPr>
            </w:pPr>
          </w:p>
        </w:tc>
        <w:tc>
          <w:tcPr>
            <w:tcW w:w="700" w:type="dxa"/>
            <w:vAlign w:val="bottom"/>
            <w:shd w:val="clear" w:color="auto" w:fill="0063A6"/>
          </w:tcPr>
          <w:p>
            <w:pPr>
              <w:spacing w:after="0"/>
              <w:rPr>
                <w:sz w:val="5"/>
                <w:szCs w:val="5"/>
                <w:color w:val="auto"/>
              </w:rPr>
            </w:pPr>
          </w:p>
        </w:tc>
        <w:tc>
          <w:tcPr>
            <w:tcW w:w="340" w:type="dxa"/>
            <w:vAlign w:val="bottom"/>
            <w:shd w:val="clear" w:color="auto" w:fill="0063A6"/>
          </w:tcPr>
          <w:p>
            <w:pPr>
              <w:spacing w:after="0"/>
              <w:rPr>
                <w:sz w:val="5"/>
                <w:szCs w:val="5"/>
                <w:color w:val="auto"/>
              </w:rPr>
            </w:pPr>
          </w:p>
        </w:tc>
        <w:tc>
          <w:tcPr>
            <w:tcW w:w="1480" w:type="dxa"/>
            <w:vAlign w:val="bottom"/>
            <w:shd w:val="clear" w:color="auto" w:fill="0063A6"/>
          </w:tcPr>
          <w:p>
            <w:pPr>
              <w:spacing w:after="0"/>
              <w:rPr>
                <w:sz w:val="5"/>
                <w:szCs w:val="5"/>
                <w:color w:val="auto"/>
              </w:rPr>
            </w:pPr>
          </w:p>
        </w:tc>
        <w:tc>
          <w:tcPr>
            <w:tcW w:w="180" w:type="dxa"/>
            <w:vAlign w:val="bottom"/>
            <w:shd w:val="clear" w:color="auto" w:fill="0063A6"/>
          </w:tcPr>
          <w:p>
            <w:pPr>
              <w:spacing w:after="0"/>
              <w:rPr>
                <w:sz w:val="5"/>
                <w:szCs w:val="5"/>
                <w:color w:val="auto"/>
              </w:rPr>
            </w:pPr>
          </w:p>
        </w:tc>
        <w:tc>
          <w:tcPr>
            <w:tcW w:w="340" w:type="dxa"/>
            <w:vAlign w:val="bottom"/>
            <w:shd w:val="clear" w:color="auto" w:fill="0063A6"/>
          </w:tcPr>
          <w:p>
            <w:pPr>
              <w:spacing w:after="0"/>
              <w:rPr>
                <w:sz w:val="5"/>
                <w:szCs w:val="5"/>
                <w:color w:val="auto"/>
              </w:rPr>
            </w:pPr>
          </w:p>
        </w:tc>
        <w:tc>
          <w:tcPr>
            <w:tcW w:w="1380" w:type="dxa"/>
            <w:vAlign w:val="bottom"/>
            <w:shd w:val="clear" w:color="auto" w:fill="0063A6"/>
          </w:tcPr>
          <w:p>
            <w:pPr>
              <w:spacing w:after="0"/>
              <w:rPr>
                <w:sz w:val="5"/>
                <w:szCs w:val="5"/>
                <w:color w:val="auto"/>
              </w:rPr>
            </w:pPr>
          </w:p>
        </w:tc>
        <w:tc>
          <w:tcPr>
            <w:tcW w:w="300" w:type="dxa"/>
            <w:vAlign w:val="bottom"/>
            <w:shd w:val="clear" w:color="auto" w:fill="0063A6"/>
          </w:tcPr>
          <w:p>
            <w:pPr>
              <w:spacing w:after="0"/>
              <w:rPr>
                <w:sz w:val="5"/>
                <w:szCs w:val="5"/>
                <w:color w:val="auto"/>
              </w:rPr>
            </w:pPr>
          </w:p>
        </w:tc>
        <w:tc>
          <w:tcPr>
            <w:tcW w:w="340" w:type="dxa"/>
            <w:vAlign w:val="bottom"/>
            <w:shd w:val="clear" w:color="auto" w:fill="0063A6"/>
          </w:tcPr>
          <w:p>
            <w:pPr>
              <w:spacing w:after="0"/>
              <w:rPr>
                <w:sz w:val="5"/>
                <w:szCs w:val="5"/>
                <w:color w:val="auto"/>
              </w:rPr>
            </w:pPr>
          </w:p>
        </w:tc>
        <w:tc>
          <w:tcPr>
            <w:tcW w:w="206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60" w:type="dxa"/>
            <w:vAlign w:val="bottom"/>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700" w:type="dxa"/>
            <w:vAlign w:val="bottom"/>
            <w:shd w:val="clear" w:color="auto" w:fill="F2F2F2"/>
          </w:tcPr>
          <w:p>
            <w:pPr>
              <w:ind w:left="5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ind w:left="62"/>
              <w:spacing w:after="0"/>
              <w:rPr>
                <w:sz w:val="20"/>
                <w:szCs w:val="20"/>
                <w:color w:val="auto"/>
              </w:rPr>
            </w:pPr>
            <w:r>
              <w:rPr>
                <w:rFonts w:ascii="Arial" w:cs="Arial" w:eastAsia="Arial" w:hAnsi="Arial"/>
                <w:sz w:val="16"/>
                <w:szCs w:val="16"/>
                <w:color w:val="auto"/>
              </w:rPr>
              <w:t>625,000</w:t>
            </w: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38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rPr>
              <w:t>500,000</w:t>
            </w:r>
          </w:p>
        </w:tc>
        <w:tc>
          <w:tcPr>
            <w:tcW w:w="30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2060" w:type="dxa"/>
            <w:vAlign w:val="bottom"/>
            <w:shd w:val="clear" w:color="auto" w:fill="F2F2F2"/>
          </w:tcPr>
          <w:p>
            <w:pPr>
              <w:jc w:val="center"/>
              <w:ind w:left="82"/>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7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148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26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700" w:type="dxa"/>
            <w:vAlign w:val="bottom"/>
          </w:tcPr>
          <w:p>
            <w:pPr>
              <w:ind w:left="540"/>
              <w:spacing w:after="0"/>
              <w:rPr>
                <w:sz w:val="20"/>
                <w:szCs w:val="20"/>
                <w:color w:val="auto"/>
              </w:rPr>
            </w:pPr>
            <w:r>
              <w:rPr>
                <w:rFonts w:ascii="Arial" w:cs="Arial" w:eastAsia="Arial" w:hAnsi="Arial"/>
                <w:sz w:val="4"/>
                <w:szCs w:val="4"/>
                <w:color w:val="auto"/>
              </w:rPr>
              <w:t>​</w:t>
            </w:r>
          </w:p>
        </w:tc>
        <w:tc>
          <w:tcPr>
            <w:tcW w:w="340" w:type="dxa"/>
            <w:vAlign w:val="bottom"/>
          </w:tcPr>
          <w:p>
            <w:pPr>
              <w:ind w:left="180"/>
              <w:spacing w:after="0"/>
              <w:rPr>
                <w:sz w:val="20"/>
                <w:szCs w:val="20"/>
                <w:color w:val="auto"/>
              </w:rPr>
            </w:pPr>
            <w:r>
              <w:rPr>
                <w:rFonts w:ascii="Arial" w:cs="Arial" w:eastAsia="Arial" w:hAnsi="Arial"/>
                <w:sz w:val="4"/>
                <w:szCs w:val="4"/>
                <w:color w:val="auto"/>
              </w:rPr>
              <w:t>​</w:t>
            </w:r>
          </w:p>
        </w:tc>
        <w:tc>
          <w:tcPr>
            <w:tcW w:w="1480" w:type="dxa"/>
            <w:vAlign w:val="bottom"/>
          </w:tcPr>
          <w:p>
            <w:pPr>
              <w:jc w:val="center"/>
              <w:ind w:left="62"/>
              <w:spacing w:after="0"/>
              <w:rPr>
                <w:sz w:val="20"/>
                <w:szCs w:val="20"/>
                <w:color w:val="auto"/>
              </w:rPr>
            </w:pPr>
            <w:r>
              <w:rPr>
                <w:rFonts w:ascii="Arial" w:cs="Arial" w:eastAsia="Arial" w:hAnsi="Arial"/>
                <w:sz w:val="16"/>
                <w:szCs w:val="16"/>
                <w:color w:val="auto"/>
              </w:rPr>
              <w:t>339,967</w:t>
            </w: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1380" w:type="dxa"/>
            <w:vAlign w:val="bottom"/>
          </w:tcPr>
          <w:p>
            <w:pPr>
              <w:jc w:val="center"/>
              <w:ind w:left="202"/>
              <w:spacing w:after="0"/>
              <w:rPr>
                <w:sz w:val="20"/>
                <w:szCs w:val="20"/>
                <w:color w:val="auto"/>
              </w:rPr>
            </w:pPr>
            <w:r>
              <w:rPr>
                <w:rFonts w:ascii="Arial" w:cs="Arial" w:eastAsia="Arial" w:hAnsi="Arial"/>
                <w:sz w:val="16"/>
                <w:szCs w:val="16"/>
                <w:color w:val="auto"/>
              </w:rPr>
              <w:t>270,000</w:t>
            </w:r>
          </w:p>
        </w:tc>
        <w:tc>
          <w:tcPr>
            <w:tcW w:w="300" w:type="dxa"/>
            <w:vAlign w:val="bottom"/>
          </w:tcPr>
          <w:p>
            <w:pPr>
              <w:ind w:left="140"/>
              <w:spacing w:after="0"/>
              <w:rPr>
                <w:sz w:val="20"/>
                <w:szCs w:val="20"/>
                <w:color w:val="auto"/>
              </w:rPr>
            </w:pPr>
            <w:r>
              <w:rPr>
                <w:rFonts w:ascii="Arial" w:cs="Arial" w:eastAsia="Arial" w:hAnsi="Arial"/>
                <w:sz w:val="4"/>
                <w:szCs w:val="4"/>
                <w:color w:val="auto"/>
              </w:rPr>
              <w:t>​</w:t>
            </w:r>
          </w:p>
        </w:tc>
        <w:tc>
          <w:tcPr>
            <w:tcW w:w="340" w:type="dxa"/>
            <w:vAlign w:val="bottom"/>
          </w:tcPr>
          <w:p>
            <w:pPr>
              <w:ind w:left="180"/>
              <w:spacing w:after="0"/>
              <w:rPr>
                <w:sz w:val="20"/>
                <w:szCs w:val="20"/>
                <w:color w:val="auto"/>
              </w:rPr>
            </w:pPr>
            <w:r>
              <w:rPr>
                <w:rFonts w:ascii="Arial" w:cs="Arial" w:eastAsia="Arial" w:hAnsi="Arial"/>
                <w:sz w:val="4"/>
                <w:szCs w:val="4"/>
                <w:color w:val="auto"/>
              </w:rPr>
              <w:t>​</w:t>
            </w:r>
          </w:p>
        </w:tc>
        <w:tc>
          <w:tcPr>
            <w:tcW w:w="2060" w:type="dxa"/>
            <w:vAlign w:val="bottom"/>
          </w:tcPr>
          <w:p>
            <w:pPr>
              <w:jc w:val="center"/>
              <w:ind w:left="82"/>
              <w:spacing w:after="0"/>
              <w:rPr>
                <w:sz w:val="20"/>
                <w:szCs w:val="20"/>
                <w:color w:val="auto"/>
              </w:rPr>
            </w:pPr>
            <w:r>
              <w:rPr>
                <w:rFonts w:ascii="Arial" w:cs="Arial" w:eastAsia="Arial" w:hAnsi="Arial"/>
                <w:sz w:val="16"/>
                <w:szCs w:val="16"/>
                <w:color w:val="auto"/>
              </w:rPr>
              <w:t>79.4%</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6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Young</w:t>
            </w:r>
          </w:p>
        </w:tc>
        <w:tc>
          <w:tcPr>
            <w:tcW w:w="700" w:type="dxa"/>
            <w:vAlign w:val="bottom"/>
            <w:shd w:val="clear" w:color="auto" w:fill="F2F2F2"/>
          </w:tcPr>
          <w:p>
            <w:pPr>
              <w:ind w:left="5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ind w:left="62"/>
              <w:spacing w:after="0"/>
              <w:rPr>
                <w:sz w:val="20"/>
                <w:szCs w:val="20"/>
                <w:color w:val="auto"/>
              </w:rPr>
            </w:pPr>
            <w:r>
              <w:rPr>
                <w:rFonts w:ascii="Arial" w:cs="Arial" w:eastAsia="Arial" w:hAnsi="Arial"/>
                <w:sz w:val="16"/>
                <w:szCs w:val="16"/>
                <w:color w:val="auto"/>
              </w:rPr>
              <w:t>600,000</w:t>
            </w: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380" w:type="dxa"/>
            <w:vAlign w:val="bottom"/>
            <w:shd w:val="clear" w:color="auto" w:fill="F2F2F2"/>
          </w:tcPr>
          <w:p>
            <w:pPr>
              <w:jc w:val="center"/>
              <w:ind w:left="202"/>
              <w:spacing w:after="0"/>
              <w:rPr>
                <w:sz w:val="20"/>
                <w:szCs w:val="20"/>
                <w:color w:val="auto"/>
              </w:rPr>
            </w:pPr>
            <w:r>
              <w:rPr>
                <w:rFonts w:ascii="Arial" w:cs="Arial" w:eastAsia="Arial" w:hAnsi="Arial"/>
                <w:sz w:val="16"/>
                <w:szCs w:val="16"/>
                <w:color w:val="auto"/>
              </w:rPr>
              <w:t>468,600</w:t>
            </w:r>
          </w:p>
        </w:tc>
        <w:tc>
          <w:tcPr>
            <w:tcW w:w="30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2060" w:type="dxa"/>
            <w:vAlign w:val="bottom"/>
            <w:shd w:val="clear" w:color="auto" w:fill="F2F2F2"/>
          </w:tcPr>
          <w:p>
            <w:pPr>
              <w:jc w:val="center"/>
              <w:ind w:left="82"/>
              <w:spacing w:after="0"/>
              <w:rPr>
                <w:sz w:val="20"/>
                <w:szCs w:val="20"/>
                <w:color w:val="auto"/>
              </w:rPr>
            </w:pPr>
            <w:r>
              <w:rPr>
                <w:rFonts w:ascii="Arial" w:cs="Arial" w:eastAsia="Arial" w:hAnsi="Arial"/>
                <w:sz w:val="16"/>
                <w:szCs w:val="16"/>
                <w:color w:val="auto"/>
              </w:rPr>
              <w:t>78.1%</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2260" w:type="dxa"/>
            <w:vAlign w:val="bottom"/>
            <w:shd w:val="clear" w:color="auto" w:fill="F2F2F2"/>
          </w:tcPr>
          <w:p>
            <w:pPr>
              <w:spacing w:after="0"/>
              <w:rPr>
                <w:sz w:val="7"/>
                <w:szCs w:val="7"/>
                <w:color w:val="auto"/>
              </w:rPr>
            </w:pPr>
          </w:p>
        </w:tc>
        <w:tc>
          <w:tcPr>
            <w:tcW w:w="7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148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138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260" w:type="dxa"/>
            <w:vAlign w:val="bottom"/>
          </w:tcPr>
          <w:p>
            <w:pPr>
              <w:ind w:left="20"/>
              <w:spacing w:after="0"/>
              <w:rPr>
                <w:sz w:val="20"/>
                <w:szCs w:val="20"/>
                <w:color w:val="auto"/>
              </w:rPr>
            </w:pPr>
            <w:r>
              <w:rPr>
                <w:rFonts w:ascii="Arial" w:cs="Arial" w:eastAsia="Arial" w:hAnsi="Arial"/>
                <w:sz w:val="16"/>
                <w:szCs w:val="16"/>
                <w:color w:val="auto"/>
              </w:rPr>
              <w:t>Bart E. Volkmer</w:t>
            </w:r>
          </w:p>
        </w:tc>
        <w:tc>
          <w:tcPr>
            <w:tcW w:w="700" w:type="dxa"/>
            <w:vAlign w:val="bottom"/>
          </w:tcPr>
          <w:p>
            <w:pPr>
              <w:ind w:left="540"/>
              <w:spacing w:after="0"/>
              <w:rPr>
                <w:sz w:val="20"/>
                <w:szCs w:val="20"/>
                <w:color w:val="auto"/>
              </w:rPr>
            </w:pPr>
            <w:r>
              <w:rPr>
                <w:rFonts w:ascii="Arial" w:cs="Arial" w:eastAsia="Arial" w:hAnsi="Arial"/>
                <w:sz w:val="4"/>
                <w:szCs w:val="4"/>
                <w:color w:val="auto"/>
              </w:rPr>
              <w:t>​</w:t>
            </w:r>
          </w:p>
        </w:tc>
        <w:tc>
          <w:tcPr>
            <w:tcW w:w="340" w:type="dxa"/>
            <w:vAlign w:val="bottom"/>
          </w:tcPr>
          <w:p>
            <w:pPr>
              <w:ind w:left="180"/>
              <w:spacing w:after="0"/>
              <w:rPr>
                <w:sz w:val="20"/>
                <w:szCs w:val="20"/>
                <w:color w:val="auto"/>
              </w:rPr>
            </w:pPr>
            <w:r>
              <w:rPr>
                <w:rFonts w:ascii="Arial" w:cs="Arial" w:eastAsia="Arial" w:hAnsi="Arial"/>
                <w:sz w:val="4"/>
                <w:szCs w:val="4"/>
                <w:color w:val="auto"/>
              </w:rPr>
              <w:t>​</w:t>
            </w:r>
          </w:p>
        </w:tc>
        <w:tc>
          <w:tcPr>
            <w:tcW w:w="1480" w:type="dxa"/>
            <w:vAlign w:val="bottom"/>
          </w:tcPr>
          <w:p>
            <w:pPr>
              <w:jc w:val="center"/>
              <w:ind w:left="62"/>
              <w:spacing w:after="0"/>
              <w:rPr>
                <w:sz w:val="20"/>
                <w:szCs w:val="20"/>
                <w:color w:val="auto"/>
              </w:rPr>
            </w:pPr>
            <w:r>
              <w:rPr>
                <w:rFonts w:ascii="Arial" w:cs="Arial" w:eastAsia="Arial" w:hAnsi="Arial"/>
                <w:sz w:val="16"/>
                <w:szCs w:val="16"/>
                <w:color w:val="auto"/>
              </w:rPr>
              <w:t>308,750</w:t>
            </w: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340" w:type="dxa"/>
            <w:vAlign w:val="bottom"/>
          </w:tcPr>
          <w:p>
            <w:pPr>
              <w:ind w:left="160"/>
              <w:spacing w:after="0"/>
              <w:rPr>
                <w:sz w:val="20"/>
                <w:szCs w:val="20"/>
                <w:color w:val="auto"/>
              </w:rPr>
            </w:pPr>
            <w:r>
              <w:rPr>
                <w:rFonts w:ascii="Arial" w:cs="Arial" w:eastAsia="Arial" w:hAnsi="Arial"/>
                <w:sz w:val="4"/>
                <w:szCs w:val="4"/>
                <w:color w:val="auto"/>
              </w:rPr>
              <w:t>​</w:t>
            </w:r>
          </w:p>
        </w:tc>
        <w:tc>
          <w:tcPr>
            <w:tcW w:w="1380" w:type="dxa"/>
            <w:vAlign w:val="bottom"/>
          </w:tcPr>
          <w:p>
            <w:pPr>
              <w:jc w:val="center"/>
              <w:ind w:left="202"/>
              <w:spacing w:after="0"/>
              <w:rPr>
                <w:sz w:val="20"/>
                <w:szCs w:val="20"/>
                <w:color w:val="auto"/>
              </w:rPr>
            </w:pPr>
            <w:r>
              <w:rPr>
                <w:rFonts w:ascii="Arial" w:cs="Arial" w:eastAsia="Arial" w:hAnsi="Arial"/>
                <w:sz w:val="16"/>
                <w:szCs w:val="16"/>
                <w:color w:val="auto"/>
              </w:rPr>
              <w:t>245,000</w:t>
            </w:r>
          </w:p>
        </w:tc>
        <w:tc>
          <w:tcPr>
            <w:tcW w:w="300" w:type="dxa"/>
            <w:vAlign w:val="bottom"/>
          </w:tcPr>
          <w:p>
            <w:pPr>
              <w:ind w:left="140"/>
              <w:spacing w:after="0"/>
              <w:rPr>
                <w:sz w:val="20"/>
                <w:szCs w:val="20"/>
                <w:color w:val="auto"/>
              </w:rPr>
            </w:pPr>
            <w:r>
              <w:rPr>
                <w:rFonts w:ascii="Arial" w:cs="Arial" w:eastAsia="Arial" w:hAnsi="Arial"/>
                <w:sz w:val="4"/>
                <w:szCs w:val="4"/>
                <w:color w:val="auto"/>
              </w:rPr>
              <w:t>​</w:t>
            </w:r>
          </w:p>
        </w:tc>
        <w:tc>
          <w:tcPr>
            <w:tcW w:w="340" w:type="dxa"/>
            <w:vAlign w:val="bottom"/>
          </w:tcPr>
          <w:p>
            <w:pPr>
              <w:ind w:left="180"/>
              <w:spacing w:after="0"/>
              <w:rPr>
                <w:sz w:val="20"/>
                <w:szCs w:val="20"/>
                <w:color w:val="auto"/>
              </w:rPr>
            </w:pPr>
            <w:r>
              <w:rPr>
                <w:rFonts w:ascii="Arial" w:cs="Arial" w:eastAsia="Arial" w:hAnsi="Arial"/>
                <w:sz w:val="4"/>
                <w:szCs w:val="4"/>
                <w:color w:val="auto"/>
              </w:rPr>
              <w:t>​</w:t>
            </w:r>
          </w:p>
        </w:tc>
        <w:tc>
          <w:tcPr>
            <w:tcW w:w="2060" w:type="dxa"/>
            <w:vAlign w:val="bottom"/>
          </w:tcPr>
          <w:p>
            <w:pPr>
              <w:jc w:val="center"/>
              <w:ind w:left="82"/>
              <w:spacing w:after="0"/>
              <w:rPr>
                <w:sz w:val="20"/>
                <w:szCs w:val="20"/>
                <w:color w:val="auto"/>
              </w:rPr>
            </w:pPr>
            <w:r>
              <w:rPr>
                <w:rFonts w:ascii="Arial" w:cs="Arial" w:eastAsia="Arial" w:hAnsi="Arial"/>
                <w:sz w:val="16"/>
                <w:szCs w:val="16"/>
                <w:color w:val="auto"/>
              </w:rPr>
              <w:t>79.4%</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4" w:right="100"/>
        <w:spacing w:after="0" w:line="281" w:lineRule="auto"/>
        <w:rPr>
          <w:sz w:val="20"/>
          <w:szCs w:val="20"/>
          <w:color w:val="auto"/>
        </w:rPr>
      </w:pPr>
      <w:r>
        <w:rPr>
          <w:rFonts w:ascii="Arial" w:cs="Arial" w:eastAsia="Arial" w:hAnsi="Arial"/>
          <w:sz w:val="16"/>
          <w:szCs w:val="16"/>
          <w:color w:val="auto"/>
        </w:rPr>
        <w:t>The annual cash bonus payments made to our named executive officers for 2022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w:t>
      </w:r>
      <w:r>
        <w:rPr>
          <w:rFonts w:ascii="Arial" w:cs="Arial" w:eastAsia="Arial" w:hAnsi="Arial"/>
          <w:sz w:val="16"/>
          <w:szCs w:val="16"/>
          <w:i w:val="1"/>
          <w:iCs w:val="1"/>
          <w:color w:val="auto"/>
        </w:rPr>
        <w:t>for Fiscal Year 2022</w:t>
      </w:r>
      <w:r>
        <w:rPr>
          <w:rFonts w:ascii="Arial" w:cs="Arial" w:eastAsia="Arial" w:hAnsi="Arial"/>
          <w:sz w:val="16"/>
          <w:szCs w:val="16"/>
          <w:color w:val="auto"/>
        </w:rPr>
        <w:t>” below.</w:t>
      </w:r>
    </w:p>
    <w:p>
      <w:pPr>
        <w:spacing w:after="0" w:line="33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52"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47"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The amount and forms of the equity awards granted to our executive officers are determined after considering the factors described in “</w:t>
      </w:r>
      <w:r>
        <w:rPr>
          <w:rFonts w:ascii="Arial" w:cs="Arial" w:eastAsia="Arial" w:hAnsi="Arial"/>
          <w:sz w:val="16"/>
          <w:szCs w:val="16"/>
          <w:i w:val="1"/>
          <w:iCs w:val="1"/>
          <w:color w:val="auto"/>
        </w:rPr>
        <w:t>Compensation-Setting Process— Compensation Setting</w:t>
      </w:r>
      <w:r>
        <w:rPr>
          <w:rFonts w:ascii="Arial" w:cs="Arial" w:eastAsia="Arial" w:hAnsi="Arial"/>
          <w:sz w:val="16"/>
          <w:szCs w:val="16"/>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28" w:lineRule="exact"/>
        <w:rPr>
          <w:sz w:val="20"/>
          <w:szCs w:val="20"/>
          <w:color w:val="auto"/>
        </w:rPr>
      </w:pPr>
    </w:p>
    <w:p>
      <w:pPr>
        <w:ind w:left="4" w:right="380"/>
        <w:spacing w:after="0" w:line="286" w:lineRule="auto"/>
        <w:rPr>
          <w:sz w:val="20"/>
          <w:szCs w:val="20"/>
          <w:color w:val="auto"/>
        </w:rPr>
      </w:pPr>
      <w:r>
        <w:rPr>
          <w:rFonts w:ascii="Arial" w:cs="Arial" w:eastAsia="Arial" w:hAnsi="Arial"/>
          <w:sz w:val="16"/>
          <w:szCs w:val="16"/>
          <w:color w:val="auto"/>
        </w:rPr>
        <w:t>In March 2022, the talent and compensation committee approved equity grants in the form of restricted stock awards (“</w:t>
      </w:r>
      <w:r>
        <w:rPr>
          <w:rFonts w:ascii="Arial" w:cs="Arial" w:eastAsia="Arial" w:hAnsi="Arial"/>
          <w:sz w:val="16"/>
          <w:szCs w:val="16"/>
          <w:b w:val="1"/>
          <w:bCs w:val="1"/>
          <w:i w:val="1"/>
          <w:iCs w:val="1"/>
          <w:color w:val="auto"/>
        </w:rPr>
        <w:t>RSAs</w:t>
      </w:r>
      <w:r>
        <w:rPr>
          <w:rFonts w:ascii="Arial" w:cs="Arial" w:eastAsia="Arial" w:hAnsi="Arial"/>
          <w:sz w:val="16"/>
          <w:szCs w:val="16"/>
          <w:color w:val="auto"/>
        </w:rPr>
        <w:t>”) to Messrs. Regan and Volkmer, each of which were effective April 1, 2022.</w:t>
      </w:r>
    </w:p>
    <w:p>
      <w:pPr>
        <w:spacing w:after="0" w:line="122" w:lineRule="exact"/>
        <w:rPr>
          <w:sz w:val="20"/>
          <w:szCs w:val="20"/>
          <w:color w:val="auto"/>
        </w:rPr>
      </w:pPr>
    </w:p>
    <w:p>
      <w:pPr>
        <w:ind w:left="4" w:right="60"/>
        <w:spacing w:after="0" w:line="249" w:lineRule="auto"/>
        <w:rPr>
          <w:sz w:val="20"/>
          <w:szCs w:val="20"/>
          <w:color w:val="auto"/>
        </w:rPr>
      </w:pPr>
      <w:r>
        <w:rPr>
          <w:rFonts w:ascii="Arial" w:cs="Arial" w:eastAsia="Arial" w:hAnsi="Arial"/>
          <w:sz w:val="16"/>
          <w:szCs w:val="16"/>
          <w:color w:val="auto"/>
        </w:rPr>
        <w:t>Differentiation was made among our executive officers based on the talent and compensation committee’s review of the competitive market data for their respective positions, internal equity, past performance, and expected future contributions. Mr. Houston does not receive equity-based compensation in light of his significant ownership position in the company and the Co-Founder Grant he received in 2017. Mr. Young was not granted an equity award in 2022 because he was granted a meaningful performance-based equity award in late 2020 in connection with his promotion to President. The equity awards granted to our named executive officers in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077585" cy="128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7585" cy="1285875"/>
                    </a:xfrm>
                    <a:prstGeom prst="rect">
                      <a:avLst/>
                    </a:prstGeom>
                    <a:noFill/>
                  </pic:spPr>
                </pic:pic>
              </a:graphicData>
            </a:graphic>
          </wp:anchor>
        </w:drawing>
      </w:r>
    </w:p>
    <w:p>
      <w:pPr>
        <w:spacing w:after="0" w:line="48"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460" w:type="dxa"/>
            <w:vAlign w:val="bottom"/>
            <w:shd w:val="clear" w:color="auto" w:fill="0063A6"/>
          </w:tcPr>
          <w:p>
            <w:pPr>
              <w:spacing w:after="0"/>
              <w:rPr>
                <w:sz w:val="22"/>
                <w:szCs w:val="22"/>
                <w:color w:val="auto"/>
              </w:rPr>
            </w:pPr>
          </w:p>
        </w:tc>
        <w:tc>
          <w:tcPr>
            <w:tcW w:w="1800" w:type="dxa"/>
            <w:vAlign w:val="bottom"/>
            <w:shd w:val="clear" w:color="auto" w:fill="0063A6"/>
          </w:tcPr>
          <w:p>
            <w:pPr>
              <w:ind w:left="1740"/>
              <w:spacing w:after="0"/>
              <w:rPr>
                <w:sz w:val="20"/>
                <w:szCs w:val="20"/>
                <w:color w:val="auto"/>
              </w:rPr>
            </w:pPr>
            <w:r>
              <w:rPr>
                <w:rFonts w:ascii="Arial" w:cs="Arial" w:eastAsia="Arial" w:hAnsi="Arial"/>
                <w:sz w:val="4"/>
                <w:szCs w:val="4"/>
                <w:color w:val="auto"/>
              </w:rPr>
              <w:t>​</w:t>
            </w:r>
          </w:p>
        </w:tc>
        <w:tc>
          <w:tcPr>
            <w:tcW w:w="4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30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w w:val="92"/>
              </w:rPr>
              <w:t>RSAs</w:t>
            </w:r>
            <w:r>
              <w:rPr>
                <w:rFonts w:ascii="Arial" w:cs="Arial" w:eastAsia="Arial" w:hAnsi="Arial"/>
                <w:sz w:val="23"/>
                <w:szCs w:val="23"/>
                <w:b w:val="1"/>
                <w:bCs w:val="1"/>
                <w:color w:val="FFFFFF"/>
                <w:w w:val="92"/>
                <w:vertAlign w:val="superscript"/>
              </w:rPr>
              <w:t>(1)</w:t>
            </w:r>
          </w:p>
        </w:tc>
        <w:tc>
          <w:tcPr>
            <w:tcW w:w="380" w:type="dxa"/>
            <w:vAlign w:val="bottom"/>
            <w:shd w:val="clear" w:color="auto" w:fill="0063A6"/>
          </w:tcPr>
          <w:p>
            <w:pPr>
              <w:ind w:left="340"/>
              <w:spacing w:after="0"/>
              <w:rPr>
                <w:sz w:val="20"/>
                <w:szCs w:val="20"/>
                <w:color w:val="auto"/>
              </w:rPr>
            </w:pPr>
            <w:r>
              <w:rPr>
                <w:rFonts w:ascii="Arial" w:cs="Arial" w:eastAsia="Arial" w:hAnsi="Arial"/>
                <w:sz w:val="4"/>
                <w:szCs w:val="4"/>
                <w:color w:val="auto"/>
              </w:rPr>
              <w:t>​</w:t>
            </w:r>
          </w:p>
        </w:tc>
        <w:tc>
          <w:tcPr>
            <w:tcW w:w="2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Aggregate Grant</w:t>
            </w:r>
          </w:p>
        </w:tc>
        <w:tc>
          <w:tcPr>
            <w:tcW w:w="28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0063A6"/>
          </w:tcPr>
          <w:p>
            <w:pPr>
              <w:spacing w:after="0"/>
              <w:rPr>
                <w:sz w:val="23"/>
                <w:szCs w:val="23"/>
                <w:color w:val="auto"/>
              </w:rPr>
            </w:pPr>
          </w:p>
        </w:tc>
        <w:tc>
          <w:tcPr>
            <w:tcW w:w="346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1800" w:type="dxa"/>
            <w:vAlign w:val="bottom"/>
            <w:shd w:val="clear" w:color="auto" w:fill="0063A6"/>
          </w:tcPr>
          <w:p>
            <w:pPr>
              <w:spacing w:after="0"/>
              <w:rPr>
                <w:sz w:val="23"/>
                <w:szCs w:val="23"/>
                <w:color w:val="auto"/>
              </w:rPr>
            </w:pPr>
          </w:p>
        </w:tc>
        <w:tc>
          <w:tcPr>
            <w:tcW w:w="420" w:type="dxa"/>
            <w:vAlign w:val="bottom"/>
            <w:shd w:val="clear" w:color="auto" w:fill="0063A6"/>
          </w:tcPr>
          <w:p>
            <w:pPr>
              <w:spacing w:after="0"/>
              <w:rPr>
                <w:sz w:val="23"/>
                <w:szCs w:val="23"/>
                <w:color w:val="auto"/>
              </w:rPr>
            </w:pPr>
          </w:p>
        </w:tc>
        <w:tc>
          <w:tcPr>
            <w:tcW w:w="1300" w:type="dxa"/>
            <w:vAlign w:val="bottom"/>
            <w:vMerge w:val="continue"/>
            <w:shd w:val="clear" w:color="auto" w:fill="0063A6"/>
          </w:tcPr>
          <w:p>
            <w:pPr>
              <w:spacing w:after="0"/>
              <w:rPr>
                <w:sz w:val="23"/>
                <w:szCs w:val="23"/>
                <w:color w:val="auto"/>
              </w:rPr>
            </w:pPr>
          </w:p>
        </w:tc>
        <w:tc>
          <w:tcPr>
            <w:tcW w:w="380" w:type="dxa"/>
            <w:vAlign w:val="bottom"/>
            <w:shd w:val="clear" w:color="auto" w:fill="0063A6"/>
          </w:tcPr>
          <w:p>
            <w:pPr>
              <w:spacing w:after="0"/>
              <w:rPr>
                <w:sz w:val="23"/>
                <w:szCs w:val="23"/>
                <w:color w:val="auto"/>
              </w:rPr>
            </w:pPr>
          </w:p>
        </w:tc>
        <w:tc>
          <w:tcPr>
            <w:tcW w:w="260" w:type="dxa"/>
            <w:vAlign w:val="bottom"/>
            <w:shd w:val="clear" w:color="auto" w:fill="0063A6"/>
          </w:tcPr>
          <w:p>
            <w:pPr>
              <w:spacing w:after="0"/>
              <w:rPr>
                <w:sz w:val="23"/>
                <w:szCs w:val="23"/>
                <w:color w:val="auto"/>
              </w:rPr>
            </w:pPr>
          </w:p>
        </w:tc>
        <w:tc>
          <w:tcPr>
            <w:tcW w:w="16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Date Fair Value ($)</w:t>
            </w:r>
          </w:p>
        </w:tc>
        <w:tc>
          <w:tcPr>
            <w:tcW w:w="28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46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1800" w:type="dxa"/>
            <w:vAlign w:val="bottom"/>
            <w:shd w:val="clear" w:color="auto" w:fill="F2F2F2"/>
          </w:tcPr>
          <w:p>
            <w:pPr>
              <w:ind w:left="174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F2F2F2"/>
          </w:tcPr>
          <w:p>
            <w:pPr>
              <w:ind w:left="34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3460" w:type="dxa"/>
            <w:vAlign w:val="bottom"/>
            <w:shd w:val="clear" w:color="auto" w:fill="F2F2F2"/>
          </w:tcPr>
          <w:p>
            <w:pPr>
              <w:spacing w:after="0"/>
              <w:rPr>
                <w:sz w:val="7"/>
                <w:szCs w:val="7"/>
                <w:color w:val="auto"/>
              </w:rPr>
            </w:pPr>
          </w:p>
        </w:tc>
        <w:tc>
          <w:tcPr>
            <w:tcW w:w="180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1800" w:type="dxa"/>
            <w:vAlign w:val="bottom"/>
          </w:tcPr>
          <w:p>
            <w:pPr>
              <w:ind w:left="1740"/>
              <w:spacing w:after="0"/>
              <w:rPr>
                <w:sz w:val="20"/>
                <w:szCs w:val="20"/>
                <w:color w:val="auto"/>
              </w:rPr>
            </w:pPr>
            <w:r>
              <w:rPr>
                <w:rFonts w:ascii="Arial" w:cs="Arial" w:eastAsia="Arial" w:hAnsi="Arial"/>
                <w:sz w:val="4"/>
                <w:szCs w:val="4"/>
                <w:color w:val="auto"/>
              </w:rPr>
              <w:t>​</w:t>
            </w:r>
          </w:p>
        </w:tc>
        <w:tc>
          <w:tcPr>
            <w:tcW w:w="420" w:type="dxa"/>
            <w:vAlign w:val="bottom"/>
          </w:tcPr>
          <w:p>
            <w:pPr>
              <w:ind w:left="40"/>
              <w:spacing w:after="0"/>
              <w:rPr>
                <w:sz w:val="20"/>
                <w:szCs w:val="20"/>
                <w:color w:val="auto"/>
              </w:rPr>
            </w:pPr>
            <w:r>
              <w:rPr>
                <w:rFonts w:ascii="Arial" w:cs="Arial" w:eastAsia="Arial" w:hAnsi="Arial"/>
                <w:sz w:val="4"/>
                <w:szCs w:val="4"/>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201,837</w:t>
            </w:r>
          </w:p>
        </w:tc>
        <w:tc>
          <w:tcPr>
            <w:tcW w:w="380" w:type="dxa"/>
            <w:vAlign w:val="bottom"/>
          </w:tcPr>
          <w:p>
            <w:pPr>
              <w:ind w:left="340"/>
              <w:spacing w:after="0"/>
              <w:rPr>
                <w:sz w:val="20"/>
                <w:szCs w:val="20"/>
                <w:color w:val="auto"/>
              </w:rPr>
            </w:pPr>
            <w:r>
              <w:rPr>
                <w:rFonts w:ascii="Arial" w:cs="Arial" w:eastAsia="Arial" w:hAnsi="Arial"/>
                <w:sz w:val="4"/>
                <w:szCs w:val="4"/>
                <w:color w:val="auto"/>
              </w:rPr>
              <w:t>​</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4,692,710</w:t>
            </w:r>
          </w:p>
        </w:tc>
        <w:tc>
          <w:tcPr>
            <w:tcW w:w="280" w:type="dxa"/>
            <w:vAlign w:val="bottom"/>
          </w:tcPr>
          <w:p>
            <w:pPr>
              <w:ind w:left="1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46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1800" w:type="dxa"/>
            <w:vAlign w:val="bottom"/>
            <w:shd w:val="clear" w:color="auto" w:fill="F2F2F2"/>
          </w:tcPr>
          <w:p>
            <w:pPr>
              <w:ind w:left="174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F2F2F2"/>
          </w:tcPr>
          <w:p>
            <w:pPr>
              <w:ind w:left="34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3460" w:type="dxa"/>
            <w:vAlign w:val="bottom"/>
            <w:shd w:val="clear" w:color="auto" w:fill="F2F2F2"/>
          </w:tcPr>
          <w:p>
            <w:pPr>
              <w:spacing w:after="0"/>
              <w:rPr>
                <w:sz w:val="7"/>
                <w:szCs w:val="7"/>
                <w:color w:val="auto"/>
              </w:rPr>
            </w:pPr>
          </w:p>
        </w:tc>
        <w:tc>
          <w:tcPr>
            <w:tcW w:w="180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2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1800" w:type="dxa"/>
            <w:vAlign w:val="bottom"/>
          </w:tcPr>
          <w:p>
            <w:pPr>
              <w:ind w:left="1740"/>
              <w:spacing w:after="0"/>
              <w:rPr>
                <w:sz w:val="20"/>
                <w:szCs w:val="20"/>
                <w:color w:val="auto"/>
              </w:rPr>
            </w:pPr>
            <w:r>
              <w:rPr>
                <w:rFonts w:ascii="Arial" w:cs="Arial" w:eastAsia="Arial" w:hAnsi="Arial"/>
                <w:sz w:val="4"/>
                <w:szCs w:val="4"/>
                <w:color w:val="auto"/>
              </w:rPr>
              <w:t>​</w:t>
            </w:r>
          </w:p>
        </w:tc>
        <w:tc>
          <w:tcPr>
            <w:tcW w:w="420" w:type="dxa"/>
            <w:vAlign w:val="bottom"/>
          </w:tcPr>
          <w:p>
            <w:pPr>
              <w:ind w:left="40"/>
              <w:spacing w:after="0"/>
              <w:rPr>
                <w:sz w:val="20"/>
                <w:szCs w:val="20"/>
                <w:color w:val="auto"/>
              </w:rPr>
            </w:pPr>
            <w:r>
              <w:rPr>
                <w:rFonts w:ascii="Arial" w:cs="Arial" w:eastAsia="Arial" w:hAnsi="Arial"/>
                <w:sz w:val="4"/>
                <w:szCs w:val="4"/>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134,558</w:t>
            </w:r>
          </w:p>
        </w:tc>
        <w:tc>
          <w:tcPr>
            <w:tcW w:w="380" w:type="dxa"/>
            <w:vAlign w:val="bottom"/>
          </w:tcPr>
          <w:p>
            <w:pPr>
              <w:ind w:left="340"/>
              <w:spacing w:after="0"/>
              <w:rPr>
                <w:sz w:val="20"/>
                <w:szCs w:val="20"/>
                <w:color w:val="auto"/>
              </w:rPr>
            </w:pPr>
            <w:r>
              <w:rPr>
                <w:rFonts w:ascii="Arial" w:cs="Arial" w:eastAsia="Arial" w:hAnsi="Arial"/>
                <w:sz w:val="4"/>
                <w:szCs w:val="4"/>
                <w:color w:val="auto"/>
              </w:rPr>
              <w:t>​</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3,128,474</w:t>
            </w:r>
          </w:p>
        </w:tc>
        <w:tc>
          <w:tcPr>
            <w:tcW w:w="280" w:type="dxa"/>
            <w:vAlign w:val="bottom"/>
          </w:tcPr>
          <w:p>
            <w:pPr>
              <w:ind w:left="18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4" w:hanging="244"/>
        <w:spacing w:after="0"/>
        <w:tabs>
          <w:tab w:leader="none" w:pos="244"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time-based RSA awards granted to Messrs. Regan and Volkmer vest over a four-year period in equal quarterly installments.</w:t>
      </w:r>
    </w:p>
    <w:p>
      <w:pPr>
        <w:spacing w:after="0" w:line="133"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The equity awards granted to our named executive officers during 2022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Year 2022</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2022</w:t>
      </w:r>
      <w:r>
        <w:rPr>
          <w:rFonts w:ascii="Arial" w:cs="Arial" w:eastAsia="Arial" w:hAnsi="Arial"/>
          <w:sz w:val="16"/>
          <w:szCs w:val="16"/>
          <w:color w:val="auto"/>
        </w:rPr>
        <w:t>” below.</w:t>
      </w:r>
    </w:p>
    <w:p>
      <w:pPr>
        <w:spacing w:after="0" w:line="1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45" w:name="page46"/>
    <w:bookmarkEnd w:id="4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Performance Achievement of Mr. Houston’s Co-Founder Grant</w:t>
      </w:r>
    </w:p>
    <w:p>
      <w:pPr>
        <w:spacing w:after="0" w:line="32"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In December 2017, our board approved a grant to Mr. Houston (our co-founder, Chief Executive Officer and chair of the board of directors) of an RSA with respect to 10.3 million shares of Class A common stock in the aggregate (the “</w:t>
      </w:r>
      <w:r>
        <w:rPr>
          <w:rFonts w:ascii="Arial" w:cs="Arial" w:eastAsia="Arial" w:hAnsi="Arial"/>
          <w:sz w:val="16"/>
          <w:szCs w:val="16"/>
          <w:b w:val="1"/>
          <w:bCs w:val="1"/>
          <w:i w:val="1"/>
          <w:iCs w:val="1"/>
          <w:color w:val="auto"/>
        </w:rPr>
        <w:t>Co-Founder Grant</w:t>
      </w:r>
      <w:r>
        <w:rPr>
          <w:rFonts w:ascii="Arial" w:cs="Arial" w:eastAsia="Arial" w:hAnsi="Arial"/>
          <w:sz w:val="16"/>
          <w:szCs w:val="16"/>
          <w:color w:val="auto"/>
        </w:rPr>
        <w:t>”).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43180</wp:posOffset>
            </wp:positionV>
            <wp:extent cx="2991485" cy="2614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91485" cy="2614930"/>
                    </a:xfrm>
                    <a:prstGeom prst="rect">
                      <a:avLst/>
                    </a:prstGeom>
                    <a:noFill/>
                  </pic:spPr>
                </pic:pic>
              </a:graphicData>
            </a:graphic>
          </wp:anchor>
        </w:drawing>
      </w:r>
    </w:p>
    <w:p>
      <w:pPr>
        <w:spacing w:after="0" w:line="48" w:lineRule="exact"/>
        <w:rPr>
          <w:sz w:val="20"/>
          <w:szCs w:val="20"/>
          <w:color w:val="auto"/>
        </w:rPr>
      </w:pPr>
    </w:p>
    <w:tbl>
      <w:tblPr>
        <w:tblLayout w:type="fixed"/>
        <w:tblInd w:w="2424" w:type="dxa"/>
        <w:tblCellMar>
          <w:top w:w="0" w:type="dxa"/>
          <w:left w:w="0" w:type="dxa"/>
          <w:bottom w:w="0" w:type="dxa"/>
          <w:right w:w="0" w:type="dxa"/>
        </w:tblCellMar>
      </w:tblPr>
      <w:tr>
        <w:trPr>
          <w:trHeight w:val="257"/>
        </w:trPr>
        <w:tc>
          <w:tcPr>
            <w:tcW w:w="200" w:type="dxa"/>
            <w:vAlign w:val="bottom"/>
            <w:shd w:val="clear" w:color="auto" w:fill="0063A6"/>
          </w:tcPr>
          <w:p>
            <w:pPr>
              <w:spacing w:after="0"/>
              <w:rPr>
                <w:sz w:val="22"/>
                <w:szCs w:val="22"/>
                <w:color w:val="auto"/>
              </w:rPr>
            </w:pPr>
          </w:p>
        </w:tc>
        <w:tc>
          <w:tcPr>
            <w:tcW w:w="230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15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c>
          <w:tcPr>
            <w:tcW w:w="24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300" w:type="dxa"/>
            <w:vAlign w:val="bottom"/>
            <w:shd w:val="clear" w:color="auto" w:fill="0063A6"/>
          </w:tcPr>
          <w:p>
            <w:pPr>
              <w:spacing w:after="0"/>
              <w:rPr>
                <w:sz w:val="9"/>
                <w:szCs w:val="9"/>
                <w:color w:val="auto"/>
              </w:rPr>
            </w:pPr>
          </w:p>
        </w:tc>
        <w:tc>
          <w:tcPr>
            <w:tcW w:w="22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c>
          <w:tcPr>
            <w:tcW w:w="24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8"/>
        </w:trPr>
        <w:tc>
          <w:tcPr>
            <w:tcW w:w="200" w:type="dxa"/>
            <w:vAlign w:val="bottom"/>
            <w:shd w:val="clear" w:color="auto" w:fill="0063A6"/>
          </w:tcPr>
          <w:p>
            <w:pPr>
              <w:spacing w:after="0"/>
              <w:rPr>
                <w:sz w:val="5"/>
                <w:szCs w:val="5"/>
                <w:color w:val="auto"/>
              </w:rPr>
            </w:pPr>
          </w:p>
        </w:tc>
        <w:tc>
          <w:tcPr>
            <w:tcW w:w="2300" w:type="dxa"/>
            <w:vAlign w:val="bottom"/>
            <w:shd w:val="clear" w:color="auto" w:fill="0063A6"/>
          </w:tcPr>
          <w:p>
            <w:pPr>
              <w:spacing w:after="0"/>
              <w:rPr>
                <w:sz w:val="5"/>
                <w:szCs w:val="5"/>
                <w:color w:val="auto"/>
              </w:rPr>
            </w:pPr>
          </w:p>
        </w:tc>
        <w:tc>
          <w:tcPr>
            <w:tcW w:w="220" w:type="dxa"/>
            <w:vAlign w:val="bottom"/>
            <w:shd w:val="clear" w:color="auto" w:fill="0063A6"/>
          </w:tcPr>
          <w:p>
            <w:pPr>
              <w:spacing w:after="0"/>
              <w:rPr>
                <w:sz w:val="5"/>
                <w:szCs w:val="5"/>
                <w:color w:val="auto"/>
              </w:rPr>
            </w:pPr>
          </w:p>
        </w:tc>
        <w:tc>
          <w:tcPr>
            <w:tcW w:w="220" w:type="dxa"/>
            <w:vAlign w:val="bottom"/>
            <w:shd w:val="clear" w:color="auto" w:fill="0063A6"/>
          </w:tcPr>
          <w:p>
            <w:pPr>
              <w:spacing w:after="0"/>
              <w:rPr>
                <w:sz w:val="5"/>
                <w:szCs w:val="5"/>
                <w:color w:val="auto"/>
              </w:rPr>
            </w:pPr>
          </w:p>
        </w:tc>
        <w:tc>
          <w:tcPr>
            <w:tcW w:w="1540" w:type="dxa"/>
            <w:vAlign w:val="bottom"/>
            <w:vMerge w:val="continue"/>
            <w:shd w:val="clear" w:color="auto" w:fill="0063A6"/>
          </w:tcPr>
          <w:p>
            <w:pPr>
              <w:spacing w:after="0"/>
              <w:rPr>
                <w:sz w:val="5"/>
                <w:szCs w:val="5"/>
                <w:color w:val="auto"/>
              </w:rPr>
            </w:pPr>
          </w:p>
        </w:tc>
        <w:tc>
          <w:tcPr>
            <w:tcW w:w="24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0" w:type="dxa"/>
            <w:vAlign w:val="bottom"/>
            <w:shd w:val="clear" w:color="auto" w:fill="0063A6"/>
          </w:tcPr>
          <w:p>
            <w:pPr>
              <w:spacing w:after="0"/>
              <w:rPr>
                <w:sz w:val="16"/>
                <w:szCs w:val="16"/>
                <w:color w:val="auto"/>
              </w:rPr>
            </w:pPr>
          </w:p>
        </w:tc>
        <w:tc>
          <w:tcPr>
            <w:tcW w:w="23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220" w:type="dxa"/>
            <w:vAlign w:val="bottom"/>
            <w:shd w:val="clear" w:color="auto" w:fill="0063A6"/>
          </w:tcPr>
          <w:p>
            <w:pPr>
              <w:spacing w:after="0"/>
              <w:rPr>
                <w:sz w:val="16"/>
                <w:szCs w:val="16"/>
                <w:color w:val="auto"/>
              </w:rPr>
            </w:pPr>
          </w:p>
        </w:tc>
        <w:tc>
          <w:tcPr>
            <w:tcW w:w="220" w:type="dxa"/>
            <w:vAlign w:val="bottom"/>
            <w:shd w:val="clear" w:color="auto" w:fill="0063A6"/>
          </w:tcPr>
          <w:p>
            <w:pPr>
              <w:spacing w:after="0"/>
              <w:rPr>
                <w:sz w:val="16"/>
                <w:szCs w:val="16"/>
                <w:color w:val="auto"/>
              </w:rPr>
            </w:pPr>
          </w:p>
        </w:tc>
        <w:tc>
          <w:tcPr>
            <w:tcW w:w="15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c>
          <w:tcPr>
            <w:tcW w:w="24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0" w:type="dxa"/>
            <w:vAlign w:val="bottom"/>
            <w:shd w:val="clear" w:color="auto" w:fill="0063A6"/>
          </w:tcPr>
          <w:p>
            <w:pPr>
              <w:spacing w:after="0"/>
              <w:rPr>
                <w:sz w:val="6"/>
                <w:szCs w:val="6"/>
                <w:color w:val="auto"/>
              </w:rPr>
            </w:pPr>
          </w:p>
        </w:tc>
        <w:tc>
          <w:tcPr>
            <w:tcW w:w="2300" w:type="dxa"/>
            <w:vAlign w:val="bottom"/>
            <w:shd w:val="clear" w:color="auto" w:fill="0063A6"/>
          </w:tcPr>
          <w:p>
            <w:pPr>
              <w:spacing w:after="0"/>
              <w:rPr>
                <w:sz w:val="6"/>
                <w:szCs w:val="6"/>
                <w:color w:val="auto"/>
              </w:rPr>
            </w:pPr>
          </w:p>
        </w:tc>
        <w:tc>
          <w:tcPr>
            <w:tcW w:w="220" w:type="dxa"/>
            <w:vAlign w:val="bottom"/>
            <w:shd w:val="clear" w:color="auto" w:fill="0063A6"/>
          </w:tcPr>
          <w:p>
            <w:pPr>
              <w:spacing w:after="0"/>
              <w:rPr>
                <w:sz w:val="6"/>
                <w:szCs w:val="6"/>
                <w:color w:val="auto"/>
              </w:rPr>
            </w:pPr>
          </w:p>
        </w:tc>
        <w:tc>
          <w:tcPr>
            <w:tcW w:w="220" w:type="dxa"/>
            <w:vAlign w:val="bottom"/>
            <w:shd w:val="clear" w:color="auto" w:fill="0063A6"/>
          </w:tcPr>
          <w:p>
            <w:pPr>
              <w:spacing w:after="0"/>
              <w:rPr>
                <w:sz w:val="6"/>
                <w:szCs w:val="6"/>
                <w:color w:val="auto"/>
              </w:rPr>
            </w:pPr>
          </w:p>
        </w:tc>
        <w:tc>
          <w:tcPr>
            <w:tcW w:w="154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40" w:type="dxa"/>
            <w:vAlign w:val="bottom"/>
            <w:shd w:val="clear" w:color="auto" w:fill="F2F2F2"/>
          </w:tcPr>
          <w:p>
            <w:pPr>
              <w:ind w:left="420"/>
              <w:spacing w:after="0"/>
              <w:rPr>
                <w:sz w:val="20"/>
                <w:szCs w:val="20"/>
                <w:color w:val="auto"/>
              </w:rPr>
            </w:pPr>
            <w:r>
              <w:rPr>
                <w:rFonts w:ascii="Arial" w:cs="Arial" w:eastAsia="Arial" w:hAnsi="Arial"/>
                <w:sz w:val="16"/>
                <w:szCs w:val="16"/>
                <w:color w:val="auto"/>
              </w:rPr>
              <w:t>2,066,667</w:t>
            </w:r>
            <w:r>
              <w:rPr>
                <w:rFonts w:ascii="Arial" w:cs="Arial" w:eastAsia="Arial" w:hAnsi="Arial"/>
                <w:sz w:val="26"/>
                <w:szCs w:val="26"/>
                <w:color w:val="auto"/>
                <w:vertAlign w:val="superscript"/>
              </w:rPr>
              <w:t>(1)</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auto"/>
              </w:rPr>
              <w:t>$37.50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tcPr>
          <w:p>
            <w:pPr>
              <w:ind w:left="420"/>
              <w:spacing w:after="0"/>
              <w:rPr>
                <w:sz w:val="20"/>
                <w:szCs w:val="20"/>
                <w:color w:val="auto"/>
              </w:rPr>
            </w:pPr>
            <w:r>
              <w:rPr>
                <w:rFonts w:ascii="Arial" w:cs="Arial" w:eastAsia="Arial" w:hAnsi="Arial"/>
                <w:sz w:val="16"/>
                <w:szCs w:val="16"/>
                <w:color w:val="auto"/>
              </w:rPr>
              <w:t>1,033,334</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1,033,334</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shd w:val="clear" w:color="auto" w:fill="F2F2F2"/>
          </w:tcPr>
          <w:p>
            <w:pPr>
              <w:spacing w:after="0"/>
              <w:rPr>
                <w:sz w:val="8"/>
                <w:szCs w:val="8"/>
                <w:color w:val="auto"/>
              </w:rPr>
            </w:pPr>
          </w:p>
        </w:tc>
        <w:tc>
          <w:tcPr>
            <w:tcW w:w="2300" w:type="dxa"/>
            <w:vAlign w:val="bottom"/>
            <w:vMerge w:val="continue"/>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540" w:type="dxa"/>
            <w:vAlign w:val="bottom"/>
            <w:vMerge w:val="continue"/>
            <w:shd w:val="clear" w:color="auto" w:fill="F2F2F2"/>
          </w:tcPr>
          <w:p>
            <w:pPr>
              <w:spacing w:after="0"/>
              <w:rPr>
                <w:sz w:val="8"/>
                <w:szCs w:val="8"/>
                <w:color w:val="auto"/>
              </w:rPr>
            </w:pPr>
          </w:p>
        </w:tc>
        <w:tc>
          <w:tcPr>
            <w:tcW w:w="2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shd w:val="clear" w:color="auto" w:fill="F2F2F2"/>
          </w:tcPr>
          <w:p>
            <w:pPr>
              <w:spacing w:after="0"/>
              <w:rPr>
                <w:sz w:val="7"/>
                <w:szCs w:val="7"/>
                <w:color w:val="auto"/>
              </w:rPr>
            </w:pPr>
          </w:p>
        </w:tc>
        <w:tc>
          <w:tcPr>
            <w:tcW w:w="230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5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auto"/>
              </w:rPr>
              <w:t>$52.50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shd w:val="clear" w:color="auto" w:fill="F2F2F2"/>
          </w:tcPr>
          <w:p>
            <w:pPr>
              <w:spacing w:after="0"/>
              <w:rPr>
                <w:sz w:val="8"/>
                <w:szCs w:val="8"/>
                <w:color w:val="auto"/>
              </w:rPr>
            </w:pPr>
          </w:p>
        </w:tc>
        <w:tc>
          <w:tcPr>
            <w:tcW w:w="2300" w:type="dxa"/>
            <w:vAlign w:val="bottom"/>
            <w:vMerge w:val="continue"/>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540" w:type="dxa"/>
            <w:vAlign w:val="bottom"/>
            <w:vMerge w:val="continue"/>
            <w:shd w:val="clear" w:color="auto" w:fill="F2F2F2"/>
          </w:tcPr>
          <w:p>
            <w:pPr>
              <w:spacing w:after="0"/>
              <w:rPr>
                <w:sz w:val="8"/>
                <w:szCs w:val="8"/>
                <w:color w:val="auto"/>
              </w:rPr>
            </w:pPr>
          </w:p>
        </w:tc>
        <w:tc>
          <w:tcPr>
            <w:tcW w:w="2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shd w:val="clear" w:color="auto" w:fill="F2F2F2"/>
          </w:tcPr>
          <w:p>
            <w:pPr>
              <w:spacing w:after="0"/>
              <w:rPr>
                <w:sz w:val="7"/>
                <w:szCs w:val="7"/>
                <w:color w:val="auto"/>
              </w:rPr>
            </w:pPr>
          </w:p>
        </w:tc>
        <w:tc>
          <w:tcPr>
            <w:tcW w:w="230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5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auto"/>
              </w:rPr>
              <w:t>$67.50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shd w:val="clear" w:color="auto" w:fill="F2F2F2"/>
          </w:tcPr>
          <w:p>
            <w:pPr>
              <w:spacing w:after="0"/>
              <w:rPr>
                <w:sz w:val="8"/>
                <w:szCs w:val="8"/>
                <w:color w:val="auto"/>
              </w:rPr>
            </w:pPr>
          </w:p>
        </w:tc>
        <w:tc>
          <w:tcPr>
            <w:tcW w:w="2300" w:type="dxa"/>
            <w:vAlign w:val="bottom"/>
            <w:vMerge w:val="continue"/>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540" w:type="dxa"/>
            <w:vAlign w:val="bottom"/>
            <w:vMerge w:val="continue"/>
            <w:shd w:val="clear" w:color="auto" w:fill="F2F2F2"/>
          </w:tcPr>
          <w:p>
            <w:pPr>
              <w:spacing w:after="0"/>
              <w:rPr>
                <w:sz w:val="8"/>
                <w:szCs w:val="8"/>
                <w:color w:val="auto"/>
              </w:rPr>
            </w:pPr>
          </w:p>
        </w:tc>
        <w:tc>
          <w:tcPr>
            <w:tcW w:w="2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shd w:val="clear" w:color="auto" w:fill="F2F2F2"/>
          </w:tcPr>
          <w:p>
            <w:pPr>
              <w:spacing w:after="0"/>
              <w:rPr>
                <w:sz w:val="7"/>
                <w:szCs w:val="7"/>
                <w:color w:val="auto"/>
              </w:rPr>
            </w:pPr>
          </w:p>
        </w:tc>
        <w:tc>
          <w:tcPr>
            <w:tcW w:w="230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5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tcPr>
          <w:p>
            <w:pPr>
              <w:jc w:val="center"/>
              <w:spacing w:after="0"/>
              <w:rPr>
                <w:sz w:val="20"/>
                <w:szCs w:val="20"/>
                <w:color w:val="auto"/>
              </w:rPr>
            </w:pPr>
            <w:r>
              <w:rPr>
                <w:rFonts w:ascii="Arial" w:cs="Arial" w:eastAsia="Arial" w:hAnsi="Arial"/>
                <w:sz w:val="16"/>
                <w:szCs w:val="16"/>
                <w:color w:val="auto"/>
              </w:rPr>
              <w:t>$82.50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20" w:type="dxa"/>
            <w:vAlign w:val="bottom"/>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3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54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1,033,333</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92"/>
        </w:trPr>
        <w:tc>
          <w:tcPr>
            <w:tcW w:w="200" w:type="dxa"/>
            <w:vAlign w:val="bottom"/>
            <w:shd w:val="clear" w:color="auto" w:fill="F2F2F2"/>
          </w:tcPr>
          <w:p>
            <w:pPr>
              <w:spacing w:after="0"/>
              <w:rPr>
                <w:sz w:val="8"/>
                <w:szCs w:val="8"/>
                <w:color w:val="auto"/>
              </w:rPr>
            </w:pPr>
          </w:p>
        </w:tc>
        <w:tc>
          <w:tcPr>
            <w:tcW w:w="2300" w:type="dxa"/>
            <w:vAlign w:val="bottom"/>
            <w:vMerge w:val="continue"/>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540" w:type="dxa"/>
            <w:vAlign w:val="bottom"/>
            <w:vMerge w:val="continue"/>
            <w:shd w:val="clear" w:color="auto" w:fill="F2F2F2"/>
          </w:tcPr>
          <w:p>
            <w:pPr>
              <w:spacing w:after="0"/>
              <w:rPr>
                <w:sz w:val="8"/>
                <w:szCs w:val="8"/>
                <w:color w:val="auto"/>
              </w:rPr>
            </w:pPr>
          </w:p>
        </w:tc>
        <w:tc>
          <w:tcPr>
            <w:tcW w:w="2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0" w:type="dxa"/>
            <w:vAlign w:val="bottom"/>
            <w:shd w:val="clear" w:color="auto" w:fill="F2F2F2"/>
          </w:tcPr>
          <w:p>
            <w:pPr>
              <w:spacing w:after="0"/>
              <w:rPr>
                <w:sz w:val="5"/>
                <w:szCs w:val="5"/>
                <w:color w:val="auto"/>
              </w:rPr>
            </w:pPr>
          </w:p>
        </w:tc>
        <w:tc>
          <w:tcPr>
            <w:tcW w:w="2300" w:type="dxa"/>
            <w:vAlign w:val="bottom"/>
            <w:shd w:val="clear" w:color="auto" w:fill="F2F2F2"/>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1540" w:type="dxa"/>
            <w:vAlign w:val="bottom"/>
            <w:shd w:val="clear" w:color="auto" w:fill="F2F2F2"/>
          </w:tcPr>
          <w:p>
            <w:pPr>
              <w:spacing w:after="0"/>
              <w:rPr>
                <w:sz w:val="5"/>
                <w:szCs w:val="5"/>
                <w:color w:val="auto"/>
              </w:rPr>
            </w:pPr>
          </w:p>
        </w:tc>
        <w:tc>
          <w:tcPr>
            <w:tcW w:w="2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44" w:hanging="244"/>
        <w:spacing w:after="0"/>
        <w:tabs>
          <w:tab w:leader="none" w:pos="244"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This tranche was vested and achieved on November 15, 2021.</w:t>
      </w:r>
    </w:p>
    <w:p>
      <w:pPr>
        <w:spacing w:after="0" w:line="149" w:lineRule="exact"/>
        <w:rPr>
          <w:sz w:val="20"/>
          <w:szCs w:val="20"/>
          <w:color w:val="auto"/>
        </w:rPr>
      </w:pPr>
    </w:p>
    <w:p>
      <w:pPr>
        <w:ind w:left="4" w:right="100"/>
        <w:spacing w:after="0" w:line="246"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During 2021, the $30.00 Stock Price Target was achieved and as a result, on November 15, 2021,</w:t>
      </w:r>
    </w:p>
    <w:p>
      <w:pPr>
        <w:spacing w:after="0" w:line="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Mr. Houston vested into 2,066,667 shares. The remaining tranches covering 8,266,666 shares remain outstanding and eligible to vest based on the achievement of the applicable stock price goals and fulfilling the service-based condition. During the first four years of the Performance Period, no more than 20% of the shares subject to the Co-Founder Grant are eligible to vest in any calendar year. After the first four years, all shares are eligible to vest based on the achievement of the Stock Price Targets.</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Performance Achievement of Mr. Young’s Performance RSA</w:t>
      </w:r>
    </w:p>
    <w:p>
      <w:pPr>
        <w:spacing w:after="0" w:line="6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In December 2020, Mr. Young was granted a performance-based RSA in connection with his promotion to President. The performance-based RSA granted to Mr. Young was subject to service-based and market-based vesting conditions and could become eligible to vest over an approximately three-year performance period beginning January 1, 2021. The target number of shares subject to the performance-based RSA were divided into three equal tranches, and the shares subject to a tranche could become eligible to vest based on the achievement of stock price targets measured over a consecutive thirty-day trading period during a twelve-month measurement period that began one month following the one-year anniversary of the grant date of the performance-based RSA (or in the case of the first measurement period, one month following the grant date) and ended one month following the next anniversary of the grant date, as indicated in the tables below.</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42 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measurement period for the second tranche was completed on December 31, 2022, and 100% of the target number of shares covered by the second tranche became eligible to vest based on the achievement of the $21.50 stock price target. As a result, Mr. Young vested in 176,522 shares on February 15, 2023. The remaining outstanding shares subject to Mr. Young’s award were forfeited upon his departure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077585" cy="2417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7585" cy="241744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 w:type="dxa"/>
            <w:vAlign w:val="bottom"/>
            <w:shd w:val="clear" w:color="auto" w:fill="0063A6"/>
          </w:tcPr>
          <w:p>
            <w:pPr>
              <w:spacing w:after="0"/>
              <w:rPr>
                <w:sz w:val="22"/>
                <w:szCs w:val="22"/>
                <w:color w:val="auto"/>
              </w:rPr>
            </w:pPr>
          </w:p>
        </w:tc>
        <w:tc>
          <w:tcPr>
            <w:tcW w:w="2000" w:type="dxa"/>
            <w:vAlign w:val="bottom"/>
            <w:gridSpan w:val="2"/>
            <w:shd w:val="clear" w:color="auto" w:fill="0063A6"/>
          </w:tcPr>
          <w:p>
            <w:pPr>
              <w:jc w:val="center"/>
              <w:ind w:left="1022"/>
              <w:spacing w:after="0"/>
              <w:rPr>
                <w:sz w:val="20"/>
                <w:szCs w:val="20"/>
                <w:color w:val="auto"/>
              </w:rPr>
            </w:pPr>
            <w:r>
              <w:rPr>
                <w:rFonts w:ascii="Arial" w:cs="Arial" w:eastAsia="Arial" w:hAnsi="Arial"/>
                <w:sz w:val="14"/>
                <w:szCs w:val="14"/>
                <w:b w:val="1"/>
                <w:bCs w:val="1"/>
                <w:color w:val="FFFFFF"/>
              </w:rPr>
              <w:t>First Tranche</w:t>
            </w:r>
          </w:p>
        </w:tc>
        <w:tc>
          <w:tcPr>
            <w:tcW w:w="260" w:type="dxa"/>
            <w:vAlign w:val="bottom"/>
            <w:shd w:val="clear" w:color="auto" w:fill="0063A6"/>
          </w:tcPr>
          <w:p>
            <w:pPr>
              <w:spacing w:after="0"/>
              <w:rPr>
                <w:sz w:val="22"/>
                <w:szCs w:val="22"/>
                <w:color w:val="auto"/>
              </w:rPr>
            </w:pPr>
          </w:p>
        </w:tc>
        <w:tc>
          <w:tcPr>
            <w:tcW w:w="760" w:type="dxa"/>
            <w:vAlign w:val="bottom"/>
            <w:shd w:val="clear" w:color="auto" w:fill="0063A6"/>
          </w:tcPr>
          <w:p>
            <w:pPr>
              <w:spacing w:after="0"/>
              <w:rPr>
                <w:sz w:val="22"/>
                <w:szCs w:val="22"/>
                <w:color w:val="auto"/>
              </w:rPr>
            </w:pPr>
          </w:p>
        </w:tc>
        <w:tc>
          <w:tcPr>
            <w:tcW w:w="10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2140" w:type="dxa"/>
            <w:vAlign w:val="bottom"/>
            <w:gridSpan w:val="3"/>
            <w:shd w:val="clear" w:color="auto" w:fill="0063A6"/>
          </w:tcPr>
          <w:p>
            <w:pPr>
              <w:jc w:val="center"/>
              <w:ind w:left="782"/>
              <w:spacing w:after="0"/>
              <w:rPr>
                <w:sz w:val="20"/>
                <w:szCs w:val="20"/>
                <w:color w:val="auto"/>
              </w:rPr>
            </w:pPr>
            <w:r>
              <w:rPr>
                <w:rFonts w:ascii="Arial" w:cs="Arial" w:eastAsia="Arial" w:hAnsi="Arial"/>
                <w:sz w:val="14"/>
                <w:szCs w:val="14"/>
                <w:b w:val="1"/>
                <w:bCs w:val="1"/>
                <w:color w:val="FFFFFF"/>
              </w:rPr>
              <w:t>Second Tranche</w:t>
            </w:r>
          </w:p>
        </w:tc>
        <w:tc>
          <w:tcPr>
            <w:tcW w:w="74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1980" w:type="dxa"/>
            <w:vAlign w:val="bottom"/>
            <w:gridSpan w:val="2"/>
            <w:shd w:val="clear" w:color="auto" w:fill="0063A6"/>
          </w:tcPr>
          <w:p>
            <w:pPr>
              <w:jc w:val="center"/>
              <w:ind w:left="942"/>
              <w:spacing w:after="0"/>
              <w:rPr>
                <w:sz w:val="20"/>
                <w:szCs w:val="20"/>
                <w:color w:val="auto"/>
              </w:rPr>
            </w:pPr>
            <w:r>
              <w:rPr>
                <w:rFonts w:ascii="Arial" w:cs="Arial" w:eastAsia="Arial" w:hAnsi="Arial"/>
                <w:sz w:val="14"/>
                <w:szCs w:val="14"/>
                <w:b w:val="1"/>
                <w:bCs w:val="1"/>
                <w:color w:val="FFFFFF"/>
              </w:rPr>
              <w:t>Third Tranche</w:t>
            </w:r>
          </w:p>
        </w:tc>
        <w:tc>
          <w:tcPr>
            <w:tcW w:w="120" w:type="dxa"/>
            <w:vAlign w:val="bottom"/>
            <w:shd w:val="clear" w:color="auto" w:fill="0063A6"/>
          </w:tcPr>
          <w:p>
            <w:pPr>
              <w:spacing w:after="0"/>
              <w:rPr>
                <w:sz w:val="22"/>
                <w:szCs w:val="22"/>
                <w:color w:val="auto"/>
              </w:rPr>
            </w:pPr>
          </w:p>
        </w:tc>
        <w:tc>
          <w:tcPr>
            <w:tcW w:w="760" w:type="dxa"/>
            <w:vAlign w:val="bottom"/>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r>
      <w:tr>
        <w:trPr>
          <w:trHeight w:val="162"/>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020" w:type="dxa"/>
            <w:vAlign w:val="bottom"/>
            <w:gridSpan w:val="4"/>
            <w:shd w:val="clear" w:color="auto" w:fill="0063A6"/>
          </w:tcPr>
          <w:p>
            <w:pPr>
              <w:jc w:val="center"/>
              <w:ind w:left="2"/>
              <w:spacing w:after="0"/>
              <w:rPr>
                <w:sz w:val="20"/>
                <w:szCs w:val="20"/>
                <w:color w:val="auto"/>
              </w:rPr>
            </w:pPr>
            <w:r>
              <w:rPr>
                <w:rFonts w:ascii="Arial" w:cs="Arial" w:eastAsia="Arial" w:hAnsi="Arial"/>
                <w:sz w:val="14"/>
                <w:szCs w:val="14"/>
                <w:i w:val="1"/>
                <w:iCs w:val="1"/>
                <w:color w:val="FFFFFF"/>
              </w:rPr>
              <w:t>Measurement Period: 1/1/2021 – 12/31/2021</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3060" w:type="dxa"/>
            <w:vAlign w:val="bottom"/>
            <w:gridSpan w:val="5"/>
            <w:shd w:val="clear" w:color="auto" w:fill="0063A6"/>
          </w:tcPr>
          <w:p>
            <w:pPr>
              <w:jc w:val="right"/>
              <w:ind w:right="22"/>
              <w:spacing w:after="0"/>
              <w:rPr>
                <w:sz w:val="20"/>
                <w:szCs w:val="20"/>
                <w:color w:val="auto"/>
              </w:rPr>
            </w:pPr>
            <w:r>
              <w:rPr>
                <w:rFonts w:ascii="Arial" w:cs="Arial" w:eastAsia="Arial" w:hAnsi="Arial"/>
                <w:sz w:val="14"/>
                <w:szCs w:val="14"/>
                <w:i w:val="1"/>
                <w:iCs w:val="1"/>
                <w:color w:val="FFFFFF"/>
              </w:rPr>
              <w:t xml:space="preserve">Measurement Period: 1/1/2022 – 12/31/2022 </w:t>
            </w:r>
            <w:r>
              <w:rPr>
                <w:rFonts w:ascii="Arial" w:cs="Arial" w:eastAsia="Arial" w:hAnsi="Arial"/>
                <w:sz w:val="3"/>
                <w:szCs w:val="3"/>
                <w:color w:val="000000"/>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3100" w:type="dxa"/>
            <w:vAlign w:val="bottom"/>
            <w:gridSpan w:val="5"/>
            <w:shd w:val="clear" w:color="auto" w:fill="0063A6"/>
          </w:tcPr>
          <w:p>
            <w:pPr>
              <w:jc w:val="right"/>
              <w:ind w:right="62"/>
              <w:spacing w:after="0"/>
              <w:rPr>
                <w:sz w:val="20"/>
                <w:szCs w:val="20"/>
                <w:color w:val="auto"/>
              </w:rPr>
            </w:pPr>
            <w:r>
              <w:rPr>
                <w:rFonts w:ascii="Arial" w:cs="Arial" w:eastAsia="Arial" w:hAnsi="Arial"/>
                <w:sz w:val="14"/>
                <w:szCs w:val="14"/>
                <w:i w:val="1"/>
                <w:iCs w:val="1"/>
                <w:color w:val="FFFFFF"/>
              </w:rPr>
              <w:t xml:space="preserve">Measurement Period: 1/1/2023 – 12/31/2023 </w:t>
            </w:r>
            <w:r>
              <w:rPr>
                <w:rFonts w:ascii="Arial" w:cs="Arial" w:eastAsia="Arial" w:hAnsi="Arial"/>
                <w:sz w:val="3"/>
                <w:szCs w:val="3"/>
                <w:color w:val="000000"/>
              </w:rPr>
              <w:t>​</w:t>
            </w:r>
          </w:p>
        </w:tc>
      </w:tr>
      <w:tr>
        <w:trPr>
          <w:trHeight w:val="186"/>
        </w:trPr>
        <w:tc>
          <w:tcPr>
            <w:tcW w:w="40" w:type="dxa"/>
            <w:vAlign w:val="bottom"/>
            <w:shd w:val="clear" w:color="auto" w:fill="0063A6"/>
          </w:tcPr>
          <w:p>
            <w:pPr>
              <w:spacing w:after="0"/>
              <w:rPr>
                <w:sz w:val="16"/>
                <w:szCs w:val="16"/>
                <w:color w:val="auto"/>
              </w:rPr>
            </w:pPr>
          </w:p>
        </w:tc>
        <w:tc>
          <w:tcPr>
            <w:tcW w:w="2260" w:type="dxa"/>
            <w:vAlign w:val="bottom"/>
            <w:gridSpan w:val="3"/>
            <w:shd w:val="clear" w:color="auto" w:fill="0063A6"/>
          </w:tcPr>
          <w:p>
            <w:pPr>
              <w:jc w:val="center"/>
              <w:ind w:left="742"/>
              <w:spacing w:after="0"/>
              <w:rPr>
                <w:sz w:val="20"/>
                <w:szCs w:val="20"/>
                <w:color w:val="auto"/>
              </w:rPr>
            </w:pPr>
            <w:r>
              <w:rPr>
                <w:rFonts w:ascii="Arial" w:cs="Arial" w:eastAsia="Arial" w:hAnsi="Arial"/>
                <w:sz w:val="14"/>
                <w:szCs w:val="14"/>
                <w:i w:val="1"/>
                <w:iCs w:val="1"/>
                <w:color w:val="FFFFFF"/>
              </w:rPr>
              <w:t>Earned at 200% target</w:t>
            </w:r>
          </w:p>
        </w:tc>
        <w:tc>
          <w:tcPr>
            <w:tcW w:w="760" w:type="dxa"/>
            <w:vAlign w:val="bottom"/>
            <w:shd w:val="clear" w:color="auto" w:fill="0063A6"/>
          </w:tcPr>
          <w:p>
            <w:pPr>
              <w:spacing w:after="0"/>
              <w:rPr>
                <w:sz w:val="16"/>
                <w:szCs w:val="16"/>
                <w:color w:val="auto"/>
              </w:rPr>
            </w:pPr>
          </w:p>
        </w:tc>
        <w:tc>
          <w:tcPr>
            <w:tcW w:w="100" w:type="dxa"/>
            <w:vAlign w:val="bottom"/>
            <w:shd w:val="clear" w:color="auto" w:fill="0063A6"/>
          </w:tcPr>
          <w:p>
            <w:pPr>
              <w:spacing w:after="0"/>
              <w:rPr>
                <w:sz w:val="16"/>
                <w:szCs w:val="16"/>
                <w:color w:val="auto"/>
              </w:rPr>
            </w:pPr>
          </w:p>
        </w:tc>
        <w:tc>
          <w:tcPr>
            <w:tcW w:w="120" w:type="dxa"/>
            <w:vAlign w:val="bottom"/>
            <w:shd w:val="clear" w:color="auto" w:fill="0063A6"/>
          </w:tcPr>
          <w:p>
            <w:pPr>
              <w:spacing w:after="0"/>
              <w:rPr>
                <w:sz w:val="16"/>
                <w:szCs w:val="16"/>
                <w:color w:val="auto"/>
              </w:rPr>
            </w:pPr>
          </w:p>
        </w:tc>
        <w:tc>
          <w:tcPr>
            <w:tcW w:w="2880" w:type="dxa"/>
            <w:vAlign w:val="bottom"/>
            <w:gridSpan w:val="4"/>
            <w:shd w:val="clear" w:color="auto" w:fill="0063A6"/>
          </w:tcPr>
          <w:p>
            <w:pPr>
              <w:jc w:val="center"/>
              <w:ind w:left="42"/>
              <w:spacing w:after="0"/>
              <w:rPr>
                <w:sz w:val="20"/>
                <w:szCs w:val="20"/>
                <w:color w:val="auto"/>
              </w:rPr>
            </w:pPr>
            <w:r>
              <w:rPr>
                <w:rFonts w:ascii="Arial" w:cs="Arial" w:eastAsia="Arial" w:hAnsi="Arial"/>
                <w:sz w:val="14"/>
                <w:szCs w:val="14"/>
                <w:i w:val="1"/>
                <w:iCs w:val="1"/>
                <w:color w:val="FFFFFF"/>
              </w:rPr>
              <w:t>Earned at 100% of target</w:t>
            </w:r>
          </w:p>
        </w:tc>
        <w:tc>
          <w:tcPr>
            <w:tcW w:w="180" w:type="dxa"/>
            <w:vAlign w:val="bottom"/>
            <w:shd w:val="clear" w:color="auto" w:fill="0063A6"/>
          </w:tcPr>
          <w:p>
            <w:pPr>
              <w:spacing w:after="0"/>
              <w:rPr>
                <w:sz w:val="16"/>
                <w:szCs w:val="16"/>
                <w:color w:val="auto"/>
              </w:rPr>
            </w:pPr>
          </w:p>
        </w:tc>
        <w:tc>
          <w:tcPr>
            <w:tcW w:w="120" w:type="dxa"/>
            <w:vAlign w:val="bottom"/>
            <w:shd w:val="clear" w:color="auto" w:fill="0063A6"/>
          </w:tcPr>
          <w:p>
            <w:pPr>
              <w:spacing w:after="0"/>
              <w:rPr>
                <w:sz w:val="16"/>
                <w:szCs w:val="16"/>
                <w:color w:val="auto"/>
              </w:rPr>
            </w:pPr>
          </w:p>
        </w:tc>
        <w:tc>
          <w:tcPr>
            <w:tcW w:w="2860" w:type="dxa"/>
            <w:vAlign w:val="bottom"/>
            <w:gridSpan w:val="4"/>
            <w:shd w:val="clear" w:color="auto" w:fill="0063A6"/>
          </w:tcPr>
          <w:p>
            <w:pPr>
              <w:jc w:val="center"/>
              <w:ind w:left="62"/>
              <w:spacing w:after="0"/>
              <w:rPr>
                <w:sz w:val="20"/>
                <w:szCs w:val="20"/>
                <w:color w:val="auto"/>
              </w:rPr>
            </w:pPr>
            <w:r>
              <w:rPr>
                <w:rFonts w:ascii="Arial" w:cs="Arial" w:eastAsia="Arial" w:hAnsi="Arial"/>
                <w:sz w:val="14"/>
                <w:szCs w:val="14"/>
                <w:i w:val="1"/>
                <w:iCs w:val="1"/>
                <w:color w:val="FFFFFF"/>
              </w:rPr>
              <w:t>Forfeited upon termination</w:t>
            </w:r>
          </w:p>
        </w:tc>
        <w:tc>
          <w:tcPr>
            <w:tcW w:w="240" w:type="dxa"/>
            <w:vAlign w:val="bottom"/>
            <w:shd w:val="clear" w:color="auto" w:fill="0063A6"/>
          </w:tcPr>
          <w:p>
            <w:pPr>
              <w:spacing w:after="0"/>
              <w:rPr>
                <w:sz w:val="16"/>
                <w:szCs w:val="16"/>
                <w:color w:val="auto"/>
              </w:rPr>
            </w:pPr>
          </w:p>
        </w:tc>
      </w:tr>
      <w:tr>
        <w:trPr>
          <w:trHeight w:val="324"/>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760" w:type="dxa"/>
            <w:vAlign w:val="bottom"/>
            <w:shd w:val="clear" w:color="auto" w:fill="0063A6"/>
          </w:tcPr>
          <w:p>
            <w:pPr>
              <w:jc w:val="center"/>
              <w:ind w:left="102"/>
              <w:spacing w:after="0"/>
              <w:rPr>
                <w:sz w:val="20"/>
                <w:szCs w:val="20"/>
                <w:color w:val="auto"/>
              </w:rPr>
            </w:pPr>
            <w:r>
              <w:rPr>
                <w:rFonts w:ascii="Arial" w:cs="Arial" w:eastAsia="Arial" w:hAnsi="Arial"/>
                <w:sz w:val="14"/>
                <w:szCs w:val="14"/>
                <w:b w:val="1"/>
                <w:bCs w:val="1"/>
                <w:color w:val="FFFFFF"/>
              </w:rPr>
              <w:t>Price Target</w:t>
            </w:r>
          </w:p>
        </w:tc>
        <w:tc>
          <w:tcPr>
            <w:tcW w:w="24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26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7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Multiplier</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720" w:type="dxa"/>
            <w:vAlign w:val="bottom"/>
            <w:shd w:val="clear" w:color="auto" w:fill="0063A6"/>
          </w:tcPr>
          <w:p>
            <w:pPr>
              <w:jc w:val="center"/>
              <w:ind w:left="102"/>
              <w:spacing w:after="0"/>
              <w:rPr>
                <w:sz w:val="20"/>
                <w:szCs w:val="20"/>
                <w:color w:val="auto"/>
              </w:rPr>
            </w:pPr>
            <w:r>
              <w:rPr>
                <w:rFonts w:ascii="Arial" w:cs="Arial" w:eastAsia="Arial" w:hAnsi="Arial"/>
                <w:sz w:val="14"/>
                <w:szCs w:val="14"/>
                <w:b w:val="1"/>
                <w:bCs w:val="1"/>
                <w:color w:val="FFFFFF"/>
              </w:rPr>
              <w:t>Price Target</w:t>
            </w:r>
          </w:p>
        </w:tc>
        <w:tc>
          <w:tcPr>
            <w:tcW w:w="22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20" w:type="dxa"/>
            <w:vAlign w:val="bottom"/>
            <w:gridSpan w:val="2"/>
            <w:shd w:val="clear" w:color="auto" w:fill="0063A6"/>
          </w:tcPr>
          <w:p>
            <w:pPr>
              <w:jc w:val="right"/>
              <w:ind w:right="22"/>
              <w:spacing w:after="0"/>
              <w:rPr>
                <w:sz w:val="20"/>
                <w:szCs w:val="20"/>
                <w:color w:val="auto"/>
              </w:rPr>
            </w:pPr>
            <w:r>
              <w:rPr>
                <w:rFonts w:ascii="Arial" w:cs="Arial" w:eastAsia="Arial" w:hAnsi="Arial"/>
                <w:sz w:val="14"/>
                <w:szCs w:val="14"/>
                <w:b w:val="1"/>
                <w:bCs w:val="1"/>
                <w:color w:val="FFFFFF"/>
              </w:rPr>
              <w:t xml:space="preserve">Multiplier  </w:t>
            </w:r>
            <w:r>
              <w:rPr>
                <w:rFonts w:ascii="Arial" w:cs="Arial" w:eastAsia="Arial" w:hAnsi="Arial"/>
                <w:sz w:val="3"/>
                <w:szCs w:val="3"/>
                <w:color w:val="000000"/>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720" w:type="dxa"/>
            <w:vAlign w:val="bottom"/>
            <w:shd w:val="clear" w:color="auto" w:fill="0063A6"/>
          </w:tcPr>
          <w:p>
            <w:pPr>
              <w:jc w:val="center"/>
              <w:ind w:left="62"/>
              <w:spacing w:after="0"/>
              <w:rPr>
                <w:sz w:val="20"/>
                <w:szCs w:val="20"/>
                <w:color w:val="auto"/>
              </w:rPr>
            </w:pPr>
            <w:r>
              <w:rPr>
                <w:rFonts w:ascii="Arial" w:cs="Arial" w:eastAsia="Arial" w:hAnsi="Arial"/>
                <w:sz w:val="14"/>
                <w:szCs w:val="14"/>
                <w:b w:val="1"/>
                <w:bCs w:val="1"/>
                <w:color w:val="FFFFFF"/>
              </w:rPr>
              <w:t>Price Target</w:t>
            </w:r>
          </w:p>
        </w:tc>
        <w:tc>
          <w:tcPr>
            <w:tcW w:w="260" w:type="dxa"/>
            <w:vAlign w:val="bottom"/>
            <w:shd w:val="clear" w:color="auto" w:fill="0063A6"/>
          </w:tcPr>
          <w:p>
            <w:pPr>
              <w:ind w:left="16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Multiplier  </w:t>
            </w:r>
            <w:r>
              <w:rPr>
                <w:rFonts w:ascii="Arial" w:cs="Arial" w:eastAsia="Arial" w:hAnsi="Arial"/>
                <w:sz w:val="3"/>
                <w:szCs w:val="3"/>
                <w:color w:val="000000"/>
              </w:rPr>
              <w:t>​</w:t>
            </w:r>
          </w:p>
        </w:tc>
      </w:tr>
      <w:tr>
        <w:trPr>
          <w:trHeight w:val="66"/>
        </w:trPr>
        <w:tc>
          <w:tcPr>
            <w:tcW w:w="40" w:type="dxa"/>
            <w:vAlign w:val="bottom"/>
            <w:shd w:val="clear" w:color="auto" w:fill="0063A6"/>
          </w:tcPr>
          <w:p>
            <w:pPr>
              <w:spacing w:after="0"/>
              <w:rPr>
                <w:sz w:val="5"/>
                <w:szCs w:val="5"/>
                <w:color w:val="auto"/>
              </w:rPr>
            </w:pPr>
          </w:p>
        </w:tc>
        <w:tc>
          <w:tcPr>
            <w:tcW w:w="1760" w:type="dxa"/>
            <w:vAlign w:val="bottom"/>
            <w:shd w:val="clear" w:color="auto" w:fill="0063A6"/>
          </w:tcPr>
          <w:p>
            <w:pPr>
              <w:spacing w:after="0"/>
              <w:rPr>
                <w:sz w:val="5"/>
                <w:szCs w:val="5"/>
                <w:color w:val="auto"/>
              </w:rPr>
            </w:pPr>
          </w:p>
        </w:tc>
        <w:tc>
          <w:tcPr>
            <w:tcW w:w="240" w:type="dxa"/>
            <w:vAlign w:val="bottom"/>
            <w:shd w:val="clear" w:color="auto" w:fill="0063A6"/>
          </w:tcPr>
          <w:p>
            <w:pPr>
              <w:spacing w:after="0"/>
              <w:rPr>
                <w:sz w:val="5"/>
                <w:szCs w:val="5"/>
                <w:color w:val="auto"/>
              </w:rPr>
            </w:pPr>
          </w:p>
        </w:tc>
        <w:tc>
          <w:tcPr>
            <w:tcW w:w="260" w:type="dxa"/>
            <w:vAlign w:val="bottom"/>
            <w:shd w:val="clear" w:color="auto" w:fill="0063A6"/>
          </w:tcPr>
          <w:p>
            <w:pPr>
              <w:spacing w:after="0"/>
              <w:rPr>
                <w:sz w:val="5"/>
                <w:szCs w:val="5"/>
                <w:color w:val="auto"/>
              </w:rPr>
            </w:pPr>
          </w:p>
        </w:tc>
        <w:tc>
          <w:tcPr>
            <w:tcW w:w="76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1720" w:type="dxa"/>
            <w:vAlign w:val="bottom"/>
            <w:shd w:val="clear" w:color="auto" w:fill="0063A6"/>
          </w:tcPr>
          <w:p>
            <w:pPr>
              <w:spacing w:after="0"/>
              <w:rPr>
                <w:sz w:val="5"/>
                <w:szCs w:val="5"/>
                <w:color w:val="auto"/>
              </w:rPr>
            </w:pPr>
          </w:p>
        </w:tc>
        <w:tc>
          <w:tcPr>
            <w:tcW w:w="220" w:type="dxa"/>
            <w:vAlign w:val="bottom"/>
            <w:shd w:val="clear" w:color="auto" w:fill="0063A6"/>
          </w:tcPr>
          <w:p>
            <w:pPr>
              <w:spacing w:after="0"/>
              <w:rPr>
                <w:sz w:val="5"/>
                <w:szCs w:val="5"/>
                <w:color w:val="auto"/>
              </w:rPr>
            </w:pPr>
          </w:p>
        </w:tc>
        <w:tc>
          <w:tcPr>
            <w:tcW w:w="200" w:type="dxa"/>
            <w:vAlign w:val="bottom"/>
            <w:shd w:val="clear" w:color="auto" w:fill="0063A6"/>
          </w:tcPr>
          <w:p>
            <w:pPr>
              <w:spacing w:after="0"/>
              <w:rPr>
                <w:sz w:val="5"/>
                <w:szCs w:val="5"/>
                <w:color w:val="auto"/>
              </w:rPr>
            </w:pPr>
          </w:p>
        </w:tc>
        <w:tc>
          <w:tcPr>
            <w:tcW w:w="740" w:type="dxa"/>
            <w:vAlign w:val="bottom"/>
            <w:shd w:val="clear" w:color="auto" w:fill="0063A6"/>
          </w:tcPr>
          <w:p>
            <w:pPr>
              <w:spacing w:after="0"/>
              <w:rPr>
                <w:sz w:val="5"/>
                <w:szCs w:val="5"/>
                <w:color w:val="auto"/>
              </w:rPr>
            </w:pPr>
          </w:p>
        </w:tc>
        <w:tc>
          <w:tcPr>
            <w:tcW w:w="180" w:type="dxa"/>
            <w:vAlign w:val="bottom"/>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1720" w:type="dxa"/>
            <w:vAlign w:val="bottom"/>
            <w:shd w:val="clear" w:color="auto" w:fill="0063A6"/>
          </w:tcPr>
          <w:p>
            <w:pPr>
              <w:spacing w:after="0"/>
              <w:rPr>
                <w:sz w:val="5"/>
                <w:szCs w:val="5"/>
                <w:color w:val="auto"/>
              </w:rPr>
            </w:pPr>
          </w:p>
        </w:tc>
        <w:tc>
          <w:tcPr>
            <w:tcW w:w="260" w:type="dxa"/>
            <w:vAlign w:val="bottom"/>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760" w:type="dxa"/>
            <w:vAlign w:val="bottom"/>
            <w:shd w:val="clear" w:color="auto" w:fill="0063A6"/>
          </w:tcPr>
          <w:p>
            <w:pPr>
              <w:spacing w:after="0"/>
              <w:rPr>
                <w:sz w:val="5"/>
                <w:szCs w:val="5"/>
                <w:color w:val="auto"/>
              </w:rPr>
            </w:pPr>
          </w:p>
        </w:tc>
        <w:tc>
          <w:tcPr>
            <w:tcW w:w="240" w:type="dxa"/>
            <w:vAlign w:val="bottom"/>
            <w:shd w:val="clear" w:color="auto" w:fill="0063A6"/>
          </w:tcPr>
          <w:p>
            <w:pPr>
              <w:spacing w:after="0"/>
              <w:rPr>
                <w:sz w:val="5"/>
                <w:szCs w:val="5"/>
                <w:color w:val="auto"/>
              </w:rPr>
            </w:pPr>
          </w:p>
        </w:tc>
      </w:tr>
      <w:tr>
        <w:trPr>
          <w:trHeight w:val="186"/>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760" w:type="dxa"/>
            <w:vAlign w:val="bottom"/>
            <w:shd w:val="clear" w:color="auto" w:fill="F2F2F2"/>
          </w:tcPr>
          <w:p>
            <w:pPr>
              <w:jc w:val="center"/>
              <w:ind w:left="82"/>
              <w:spacing w:after="0" w:line="175" w:lineRule="exact"/>
              <w:rPr>
                <w:sz w:val="20"/>
                <w:szCs w:val="20"/>
                <w:color w:val="auto"/>
              </w:rPr>
            </w:pPr>
            <w:r>
              <w:rPr>
                <w:rFonts w:ascii="Arial" w:cs="Arial" w:eastAsia="Arial" w:hAnsi="Arial"/>
                <w:sz w:val="16"/>
                <w:szCs w:val="16"/>
                <w:color w:val="auto"/>
              </w:rPr>
              <w:t>Less than $10.00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ind w:right="20"/>
              <w:spacing w:after="0" w:line="175" w:lineRule="exact"/>
              <w:rPr>
                <w:sz w:val="20"/>
                <w:szCs w:val="20"/>
                <w:color w:val="auto"/>
              </w:rPr>
            </w:pPr>
            <w:r>
              <w:rPr>
                <w:rFonts w:ascii="Arial" w:cs="Arial" w:eastAsia="Arial" w:hAnsi="Arial"/>
                <w:sz w:val="16"/>
                <w:szCs w:val="16"/>
                <w:color w:val="auto"/>
                <w:w w:val="94"/>
              </w:rPr>
              <w:t>0%</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82"/>
              <w:spacing w:after="0" w:line="175" w:lineRule="exact"/>
              <w:rPr>
                <w:sz w:val="20"/>
                <w:szCs w:val="20"/>
                <w:color w:val="auto"/>
              </w:rPr>
            </w:pPr>
            <w:r>
              <w:rPr>
                <w:rFonts w:ascii="Arial" w:cs="Arial" w:eastAsia="Arial" w:hAnsi="Arial"/>
                <w:sz w:val="16"/>
                <w:szCs w:val="16"/>
                <w:color w:val="auto"/>
              </w:rPr>
              <w:t>Less than $10.00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w w:val="94"/>
              </w:rPr>
              <w:t>0%</w:t>
            </w:r>
          </w:p>
        </w:tc>
        <w:tc>
          <w:tcPr>
            <w:tcW w:w="180" w:type="dxa"/>
            <w:vAlign w:val="bottom"/>
            <w:shd w:val="clear" w:color="auto" w:fill="F2F2F2"/>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82"/>
              <w:spacing w:after="0" w:line="175" w:lineRule="exact"/>
              <w:rPr>
                <w:sz w:val="20"/>
                <w:szCs w:val="20"/>
                <w:color w:val="auto"/>
              </w:rPr>
            </w:pPr>
            <w:r>
              <w:rPr>
                <w:rFonts w:ascii="Arial" w:cs="Arial" w:eastAsia="Arial" w:hAnsi="Arial"/>
                <w:sz w:val="16"/>
                <w:szCs w:val="16"/>
                <w:color w:val="auto"/>
              </w:rPr>
              <w:t>Less than $10.00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rPr>
              <w:t>0%</w:t>
            </w:r>
          </w:p>
        </w:tc>
        <w:tc>
          <w:tcPr>
            <w:tcW w:w="2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165"/>
        </w:trPr>
        <w:tc>
          <w:tcPr>
            <w:tcW w:w="40" w:type="dxa"/>
            <w:vAlign w:val="bottom"/>
            <w:shd w:val="clear" w:color="auto" w:fill="F2F2F2"/>
          </w:tcPr>
          <w:p>
            <w:pPr>
              <w:spacing w:after="0"/>
              <w:rPr>
                <w:sz w:val="14"/>
                <w:szCs w:val="14"/>
                <w:color w:val="auto"/>
              </w:rPr>
            </w:pPr>
          </w:p>
        </w:tc>
        <w:tc>
          <w:tcPr>
            <w:tcW w:w="1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r>
      <w:tr>
        <w:trPr>
          <w:trHeight w:val="18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$10.00</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760" w:type="dxa"/>
            <w:vAlign w:val="bottom"/>
          </w:tcPr>
          <w:p>
            <w:pPr>
              <w:jc w:val="center"/>
              <w:ind w:right="20"/>
              <w:spacing w:after="0" w:line="175" w:lineRule="exact"/>
              <w:rPr>
                <w:sz w:val="20"/>
                <w:szCs w:val="20"/>
                <w:color w:val="auto"/>
              </w:rPr>
            </w:pPr>
            <w:r>
              <w:rPr>
                <w:rFonts w:ascii="Arial" w:cs="Arial" w:eastAsia="Arial" w:hAnsi="Arial"/>
                <w:sz w:val="16"/>
                <w:szCs w:val="16"/>
                <w:color w:val="auto"/>
              </w:rPr>
              <w:t>25%</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$10.00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line="175" w:lineRule="exact"/>
              <w:rPr>
                <w:sz w:val="20"/>
                <w:szCs w:val="20"/>
                <w:color w:val="auto"/>
              </w:rPr>
            </w:pPr>
            <w:r>
              <w:rPr>
                <w:rFonts w:ascii="Arial" w:cs="Arial" w:eastAsia="Arial" w:hAnsi="Arial"/>
                <w:sz w:val="16"/>
                <w:szCs w:val="16"/>
                <w:color w:val="auto"/>
              </w:rPr>
              <w:t>25%</w:t>
            </w:r>
          </w:p>
        </w:tc>
        <w:tc>
          <w:tcPr>
            <w:tcW w:w="18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62"/>
              <w:spacing w:after="0" w:line="175" w:lineRule="exact"/>
              <w:rPr>
                <w:sz w:val="20"/>
                <w:szCs w:val="20"/>
                <w:color w:val="auto"/>
              </w:rPr>
            </w:pPr>
            <w:r>
              <w:rPr>
                <w:rFonts w:ascii="Arial" w:cs="Arial" w:eastAsia="Arial" w:hAnsi="Arial"/>
                <w:sz w:val="16"/>
                <w:szCs w:val="16"/>
                <w:color w:val="auto"/>
              </w:rPr>
              <w:t>$10.00</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line="175" w:lineRule="exact"/>
              <w:rPr>
                <w:sz w:val="20"/>
                <w:szCs w:val="20"/>
                <w:color w:val="auto"/>
              </w:rPr>
            </w:pPr>
            <w:r>
              <w:rPr>
                <w:rFonts w:ascii="Arial" w:cs="Arial" w:eastAsia="Arial" w:hAnsi="Arial"/>
                <w:sz w:val="16"/>
                <w:szCs w:val="16"/>
                <w:color w:val="auto"/>
                <w:w w:val="99"/>
              </w:rPr>
              <w:t>25%</w:t>
            </w:r>
          </w:p>
        </w:tc>
        <w:tc>
          <w:tcPr>
            <w:tcW w:w="240" w:type="dxa"/>
            <w:vAlign w:val="bottom"/>
          </w:tcPr>
          <w:p>
            <w:pPr>
              <w:jc w:val="right"/>
              <w:ind w:right="62"/>
              <w:spacing w:after="0"/>
              <w:rPr>
                <w:sz w:val="20"/>
                <w:szCs w:val="20"/>
                <w:color w:val="auto"/>
              </w:rPr>
            </w:pPr>
            <w:r>
              <w:rPr>
                <w:rFonts w:ascii="Arial" w:cs="Arial" w:eastAsia="Arial" w:hAnsi="Arial"/>
                <w:sz w:val="4"/>
                <w:szCs w:val="4"/>
                <w:color w:val="auto"/>
              </w:rPr>
              <w:t>​</w:t>
            </w:r>
          </w:p>
        </w:tc>
      </w:tr>
      <w:tr>
        <w:trPr>
          <w:trHeight w:val="165"/>
        </w:trPr>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6"/>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76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$15.00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ind w:right="20"/>
              <w:spacing w:after="0" w:line="175" w:lineRule="exact"/>
              <w:rPr>
                <w:sz w:val="20"/>
                <w:szCs w:val="20"/>
                <w:color w:val="auto"/>
              </w:rPr>
            </w:pPr>
            <w:r>
              <w:rPr>
                <w:rFonts w:ascii="Arial" w:cs="Arial" w:eastAsia="Arial" w:hAnsi="Arial"/>
                <w:sz w:val="16"/>
                <w:szCs w:val="16"/>
                <w:color w:val="auto"/>
              </w:rPr>
              <w:t>50%</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$15.00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rPr>
              <w:t>50%</w:t>
            </w:r>
          </w:p>
        </w:tc>
        <w:tc>
          <w:tcPr>
            <w:tcW w:w="180" w:type="dxa"/>
            <w:vAlign w:val="bottom"/>
            <w:shd w:val="clear" w:color="auto" w:fill="F2F2F2"/>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62"/>
              <w:spacing w:after="0" w:line="175" w:lineRule="exact"/>
              <w:rPr>
                <w:sz w:val="20"/>
                <w:szCs w:val="20"/>
                <w:color w:val="auto"/>
              </w:rPr>
            </w:pPr>
            <w:r>
              <w:rPr>
                <w:rFonts w:ascii="Arial" w:cs="Arial" w:eastAsia="Arial" w:hAnsi="Arial"/>
                <w:sz w:val="16"/>
                <w:szCs w:val="16"/>
                <w:color w:val="auto"/>
              </w:rPr>
              <w:t>$15.00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w w:val="99"/>
              </w:rPr>
              <w:t>50%</w:t>
            </w:r>
          </w:p>
        </w:tc>
        <w:tc>
          <w:tcPr>
            <w:tcW w:w="2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166"/>
        </w:trPr>
        <w:tc>
          <w:tcPr>
            <w:tcW w:w="40" w:type="dxa"/>
            <w:vAlign w:val="bottom"/>
            <w:shd w:val="clear" w:color="auto" w:fill="F2F2F2"/>
          </w:tcPr>
          <w:p>
            <w:pPr>
              <w:spacing w:after="0"/>
              <w:rPr>
                <w:sz w:val="14"/>
                <w:szCs w:val="14"/>
                <w:color w:val="auto"/>
              </w:rPr>
            </w:pPr>
          </w:p>
        </w:tc>
        <w:tc>
          <w:tcPr>
            <w:tcW w:w="1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r>
      <w:tr>
        <w:trPr>
          <w:trHeight w:val="18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$20.00</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760" w:type="dxa"/>
            <w:vAlign w:val="bottom"/>
          </w:tcPr>
          <w:p>
            <w:pPr>
              <w:jc w:val="center"/>
              <w:ind w:right="20"/>
              <w:spacing w:after="0" w:line="175" w:lineRule="exact"/>
              <w:rPr>
                <w:sz w:val="20"/>
                <w:szCs w:val="20"/>
                <w:color w:val="auto"/>
              </w:rPr>
            </w:pPr>
            <w:r>
              <w:rPr>
                <w:rFonts w:ascii="Arial" w:cs="Arial" w:eastAsia="Arial" w:hAnsi="Arial"/>
                <w:sz w:val="16"/>
                <w:szCs w:val="16"/>
                <w:color w:val="auto"/>
              </w:rPr>
              <w:t>100%</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$21.50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line="175" w:lineRule="exact"/>
              <w:rPr>
                <w:sz w:val="20"/>
                <w:szCs w:val="20"/>
                <w:color w:val="auto"/>
              </w:rPr>
            </w:pPr>
            <w:r>
              <w:rPr>
                <w:rFonts w:ascii="Arial" w:cs="Arial" w:eastAsia="Arial" w:hAnsi="Arial"/>
                <w:sz w:val="16"/>
                <w:szCs w:val="16"/>
                <w:color w:val="auto"/>
              </w:rPr>
              <w:t>100%</w:t>
            </w:r>
          </w:p>
        </w:tc>
        <w:tc>
          <w:tcPr>
            <w:tcW w:w="18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62"/>
              <w:spacing w:after="0" w:line="175" w:lineRule="exact"/>
              <w:rPr>
                <w:sz w:val="20"/>
                <w:szCs w:val="20"/>
                <w:color w:val="auto"/>
              </w:rPr>
            </w:pPr>
            <w:r>
              <w:rPr>
                <w:rFonts w:ascii="Arial" w:cs="Arial" w:eastAsia="Arial" w:hAnsi="Arial"/>
                <w:sz w:val="16"/>
                <w:szCs w:val="16"/>
                <w:color w:val="auto"/>
              </w:rPr>
              <w:t>$23.50</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line="175" w:lineRule="exact"/>
              <w:rPr>
                <w:sz w:val="20"/>
                <w:szCs w:val="20"/>
                <w:color w:val="auto"/>
              </w:rPr>
            </w:pPr>
            <w:r>
              <w:rPr>
                <w:rFonts w:ascii="Arial" w:cs="Arial" w:eastAsia="Arial" w:hAnsi="Arial"/>
                <w:sz w:val="16"/>
                <w:szCs w:val="16"/>
                <w:color w:val="auto"/>
                <w:w w:val="97"/>
              </w:rPr>
              <w:t>100%</w:t>
            </w:r>
          </w:p>
        </w:tc>
        <w:tc>
          <w:tcPr>
            <w:tcW w:w="240" w:type="dxa"/>
            <w:vAlign w:val="bottom"/>
          </w:tcPr>
          <w:p>
            <w:pPr>
              <w:jc w:val="right"/>
              <w:ind w:right="62"/>
              <w:spacing w:after="0"/>
              <w:rPr>
                <w:sz w:val="20"/>
                <w:szCs w:val="20"/>
                <w:color w:val="auto"/>
              </w:rPr>
            </w:pPr>
            <w:r>
              <w:rPr>
                <w:rFonts w:ascii="Arial" w:cs="Arial" w:eastAsia="Arial" w:hAnsi="Arial"/>
                <w:sz w:val="4"/>
                <w:szCs w:val="4"/>
                <w:color w:val="auto"/>
              </w:rPr>
              <w:t>​</w:t>
            </w:r>
          </w:p>
        </w:tc>
      </w:tr>
      <w:tr>
        <w:trPr>
          <w:trHeight w:val="166"/>
        </w:trPr>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5"/>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76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$25.00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ind w:right="20"/>
              <w:spacing w:after="0" w:line="175" w:lineRule="exact"/>
              <w:rPr>
                <w:sz w:val="20"/>
                <w:szCs w:val="20"/>
                <w:color w:val="auto"/>
              </w:rPr>
            </w:pPr>
            <w:r>
              <w:rPr>
                <w:rFonts w:ascii="Arial" w:cs="Arial" w:eastAsia="Arial" w:hAnsi="Arial"/>
                <w:sz w:val="16"/>
                <w:szCs w:val="16"/>
                <w:color w:val="auto"/>
              </w:rPr>
              <w:t>150%</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$25.00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rPr>
              <w:t>150%</w:t>
            </w:r>
          </w:p>
        </w:tc>
        <w:tc>
          <w:tcPr>
            <w:tcW w:w="180" w:type="dxa"/>
            <w:vAlign w:val="bottom"/>
            <w:shd w:val="clear" w:color="auto" w:fill="F2F2F2"/>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62"/>
              <w:spacing w:after="0" w:line="175" w:lineRule="exact"/>
              <w:rPr>
                <w:sz w:val="20"/>
                <w:szCs w:val="20"/>
                <w:color w:val="auto"/>
              </w:rPr>
            </w:pPr>
            <w:r>
              <w:rPr>
                <w:rFonts w:ascii="Arial" w:cs="Arial" w:eastAsia="Arial" w:hAnsi="Arial"/>
                <w:sz w:val="16"/>
                <w:szCs w:val="16"/>
                <w:color w:val="auto"/>
              </w:rPr>
              <w:t>$25.00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w w:val="97"/>
              </w:rPr>
              <w:t>150%</w:t>
            </w:r>
          </w:p>
        </w:tc>
        <w:tc>
          <w:tcPr>
            <w:tcW w:w="2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166"/>
        </w:trPr>
        <w:tc>
          <w:tcPr>
            <w:tcW w:w="40" w:type="dxa"/>
            <w:vAlign w:val="bottom"/>
            <w:shd w:val="clear" w:color="auto" w:fill="F2F2F2"/>
          </w:tcPr>
          <w:p>
            <w:pPr>
              <w:spacing w:after="0"/>
              <w:rPr>
                <w:sz w:val="14"/>
                <w:szCs w:val="14"/>
                <w:color w:val="auto"/>
              </w:rPr>
            </w:pPr>
          </w:p>
        </w:tc>
        <w:tc>
          <w:tcPr>
            <w:tcW w:w="1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r>
      <w:tr>
        <w:trPr>
          <w:trHeight w:val="18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$30.00</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760" w:type="dxa"/>
            <w:vAlign w:val="bottom"/>
          </w:tcPr>
          <w:p>
            <w:pPr>
              <w:jc w:val="center"/>
              <w:ind w:right="20"/>
              <w:spacing w:after="0" w:line="175" w:lineRule="exact"/>
              <w:rPr>
                <w:sz w:val="20"/>
                <w:szCs w:val="20"/>
                <w:color w:val="auto"/>
              </w:rPr>
            </w:pPr>
            <w:r>
              <w:rPr>
                <w:rFonts w:ascii="Arial" w:cs="Arial" w:eastAsia="Arial" w:hAnsi="Arial"/>
                <w:sz w:val="16"/>
                <w:szCs w:val="16"/>
                <w:color w:val="auto"/>
              </w:rPr>
              <w:t>200%</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$30.00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line="175" w:lineRule="exact"/>
              <w:rPr>
                <w:sz w:val="20"/>
                <w:szCs w:val="20"/>
                <w:color w:val="auto"/>
              </w:rPr>
            </w:pPr>
            <w:r>
              <w:rPr>
                <w:rFonts w:ascii="Arial" w:cs="Arial" w:eastAsia="Arial" w:hAnsi="Arial"/>
                <w:sz w:val="16"/>
                <w:szCs w:val="16"/>
                <w:color w:val="auto"/>
              </w:rPr>
              <w:t>200%</w:t>
            </w:r>
          </w:p>
        </w:tc>
        <w:tc>
          <w:tcPr>
            <w:tcW w:w="18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62"/>
              <w:spacing w:after="0" w:line="175" w:lineRule="exact"/>
              <w:rPr>
                <w:sz w:val="20"/>
                <w:szCs w:val="20"/>
                <w:color w:val="auto"/>
              </w:rPr>
            </w:pPr>
            <w:r>
              <w:rPr>
                <w:rFonts w:ascii="Arial" w:cs="Arial" w:eastAsia="Arial" w:hAnsi="Arial"/>
                <w:sz w:val="16"/>
                <w:szCs w:val="16"/>
                <w:color w:val="auto"/>
              </w:rPr>
              <w:t>$30.00</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line="175" w:lineRule="exact"/>
              <w:rPr>
                <w:sz w:val="20"/>
                <w:szCs w:val="20"/>
                <w:color w:val="auto"/>
              </w:rPr>
            </w:pPr>
            <w:r>
              <w:rPr>
                <w:rFonts w:ascii="Arial" w:cs="Arial" w:eastAsia="Arial" w:hAnsi="Arial"/>
                <w:sz w:val="16"/>
                <w:szCs w:val="16"/>
                <w:color w:val="auto"/>
                <w:w w:val="97"/>
              </w:rPr>
              <w:t>200%</w:t>
            </w:r>
          </w:p>
        </w:tc>
        <w:tc>
          <w:tcPr>
            <w:tcW w:w="240" w:type="dxa"/>
            <w:vAlign w:val="bottom"/>
          </w:tcPr>
          <w:p>
            <w:pPr>
              <w:jc w:val="right"/>
              <w:ind w:right="62"/>
              <w:spacing w:after="0"/>
              <w:rPr>
                <w:sz w:val="20"/>
                <w:szCs w:val="20"/>
                <w:color w:val="auto"/>
              </w:rPr>
            </w:pPr>
            <w:r>
              <w:rPr>
                <w:rFonts w:ascii="Arial" w:cs="Arial" w:eastAsia="Arial" w:hAnsi="Arial"/>
                <w:sz w:val="4"/>
                <w:szCs w:val="4"/>
                <w:color w:val="auto"/>
              </w:rPr>
              <w:t>​</w:t>
            </w:r>
          </w:p>
        </w:tc>
      </w:tr>
      <w:tr>
        <w:trPr>
          <w:trHeight w:val="165"/>
        </w:trPr>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6"/>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76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$35.00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ind w:right="20"/>
              <w:spacing w:after="0" w:line="175" w:lineRule="exact"/>
              <w:rPr>
                <w:sz w:val="20"/>
                <w:szCs w:val="20"/>
                <w:color w:val="auto"/>
              </w:rPr>
            </w:pPr>
            <w:r>
              <w:rPr>
                <w:rFonts w:ascii="Arial" w:cs="Arial" w:eastAsia="Arial" w:hAnsi="Arial"/>
                <w:sz w:val="16"/>
                <w:szCs w:val="16"/>
                <w:color w:val="auto"/>
              </w:rPr>
              <w:t>250%</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102"/>
              <w:spacing w:after="0" w:line="175" w:lineRule="exact"/>
              <w:rPr>
                <w:sz w:val="20"/>
                <w:szCs w:val="20"/>
                <w:color w:val="auto"/>
              </w:rPr>
            </w:pPr>
            <w:r>
              <w:rPr>
                <w:rFonts w:ascii="Arial" w:cs="Arial" w:eastAsia="Arial" w:hAnsi="Arial"/>
                <w:sz w:val="16"/>
                <w:szCs w:val="16"/>
                <w:color w:val="auto"/>
              </w:rPr>
              <w:t>$35.00</w:t>
            </w:r>
          </w:p>
        </w:tc>
        <w:tc>
          <w:tcPr>
            <w:tcW w:w="22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rPr>
              <w:t>250%</w:t>
            </w:r>
          </w:p>
        </w:tc>
        <w:tc>
          <w:tcPr>
            <w:tcW w:w="180" w:type="dxa"/>
            <w:vAlign w:val="bottom"/>
            <w:shd w:val="clear" w:color="auto" w:fill="F2F2F2"/>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62"/>
              <w:spacing w:after="0" w:line="175" w:lineRule="exact"/>
              <w:rPr>
                <w:sz w:val="20"/>
                <w:szCs w:val="20"/>
                <w:color w:val="auto"/>
              </w:rPr>
            </w:pPr>
            <w:r>
              <w:rPr>
                <w:rFonts w:ascii="Arial" w:cs="Arial" w:eastAsia="Arial" w:hAnsi="Arial"/>
                <w:sz w:val="16"/>
                <w:szCs w:val="16"/>
                <w:color w:val="auto"/>
              </w:rPr>
              <w:t>$35.00</w:t>
            </w:r>
          </w:p>
        </w:tc>
        <w:tc>
          <w:tcPr>
            <w:tcW w:w="26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w w:val="97"/>
              </w:rPr>
              <w:t>250%</w:t>
            </w:r>
          </w:p>
        </w:tc>
        <w:tc>
          <w:tcPr>
            <w:tcW w:w="2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r>
      <w:tr>
        <w:trPr>
          <w:trHeight w:val="165"/>
        </w:trPr>
        <w:tc>
          <w:tcPr>
            <w:tcW w:w="40" w:type="dxa"/>
            <w:vAlign w:val="bottom"/>
            <w:shd w:val="clear" w:color="auto" w:fill="F2F2F2"/>
          </w:tcPr>
          <w:p>
            <w:pPr>
              <w:spacing w:after="0"/>
              <w:rPr>
                <w:sz w:val="14"/>
                <w:szCs w:val="14"/>
                <w:color w:val="auto"/>
              </w:rPr>
            </w:pPr>
          </w:p>
        </w:tc>
        <w:tc>
          <w:tcPr>
            <w:tcW w:w="1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72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r>
      <w:tr>
        <w:trPr>
          <w:trHeight w:val="18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$40.00</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260" w:type="dxa"/>
            <w:vAlign w:val="bottom"/>
          </w:tcPr>
          <w:p>
            <w:pPr>
              <w:ind w:left="20"/>
              <w:spacing w:after="0"/>
              <w:rPr>
                <w:sz w:val="20"/>
                <w:szCs w:val="20"/>
                <w:color w:val="auto"/>
              </w:rPr>
            </w:pPr>
            <w:r>
              <w:rPr>
                <w:rFonts w:ascii="Arial" w:cs="Arial" w:eastAsia="Arial" w:hAnsi="Arial"/>
                <w:sz w:val="4"/>
                <w:szCs w:val="4"/>
                <w:color w:val="auto"/>
              </w:rPr>
              <w:t>​</w:t>
            </w:r>
          </w:p>
        </w:tc>
        <w:tc>
          <w:tcPr>
            <w:tcW w:w="760" w:type="dxa"/>
            <w:vAlign w:val="bottom"/>
          </w:tcPr>
          <w:p>
            <w:pPr>
              <w:jc w:val="center"/>
              <w:ind w:right="20"/>
              <w:spacing w:after="0" w:line="175" w:lineRule="exact"/>
              <w:rPr>
                <w:sz w:val="20"/>
                <w:szCs w:val="20"/>
                <w:color w:val="auto"/>
              </w:rPr>
            </w:pPr>
            <w:r>
              <w:rPr>
                <w:rFonts w:ascii="Arial" w:cs="Arial" w:eastAsia="Arial" w:hAnsi="Arial"/>
                <w:sz w:val="16"/>
                <w:szCs w:val="16"/>
                <w:color w:val="auto"/>
              </w:rPr>
              <w:t>300%</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102"/>
              <w:spacing w:after="0" w:line="175" w:lineRule="exact"/>
              <w:rPr>
                <w:sz w:val="20"/>
                <w:szCs w:val="20"/>
                <w:color w:val="auto"/>
              </w:rPr>
            </w:pPr>
            <w:r>
              <w:rPr>
                <w:rFonts w:ascii="Arial" w:cs="Arial" w:eastAsia="Arial" w:hAnsi="Arial"/>
                <w:sz w:val="16"/>
                <w:szCs w:val="16"/>
                <w:color w:val="auto"/>
              </w:rPr>
              <w:t>$40.00</w:t>
            </w:r>
          </w:p>
        </w:tc>
        <w:tc>
          <w:tcPr>
            <w:tcW w:w="220" w:type="dxa"/>
            <w:vAlign w:val="bottom"/>
          </w:tcPr>
          <w:p>
            <w:pPr>
              <w:ind w:left="160"/>
              <w:spacing w:after="0"/>
              <w:rPr>
                <w:sz w:val="20"/>
                <w:szCs w:val="20"/>
                <w:color w:val="auto"/>
              </w:rPr>
            </w:pPr>
            <w:r>
              <w:rPr>
                <w:rFonts w:ascii="Arial" w:cs="Arial" w:eastAsia="Arial" w:hAnsi="Arial"/>
                <w:sz w:val="4"/>
                <w:szCs w:val="4"/>
                <w:color w:val="auto"/>
              </w:rPr>
              <w:t>​</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line="175" w:lineRule="exact"/>
              <w:rPr>
                <w:sz w:val="20"/>
                <w:szCs w:val="20"/>
                <w:color w:val="auto"/>
              </w:rPr>
            </w:pPr>
            <w:r>
              <w:rPr>
                <w:rFonts w:ascii="Arial" w:cs="Arial" w:eastAsia="Arial" w:hAnsi="Arial"/>
                <w:sz w:val="16"/>
                <w:szCs w:val="16"/>
                <w:color w:val="auto"/>
              </w:rPr>
              <w:t>300%</w:t>
            </w:r>
          </w:p>
        </w:tc>
        <w:tc>
          <w:tcPr>
            <w:tcW w:w="18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62"/>
              <w:spacing w:after="0" w:line="175" w:lineRule="exact"/>
              <w:rPr>
                <w:sz w:val="20"/>
                <w:szCs w:val="20"/>
                <w:color w:val="auto"/>
              </w:rPr>
            </w:pPr>
            <w:r>
              <w:rPr>
                <w:rFonts w:ascii="Arial" w:cs="Arial" w:eastAsia="Arial" w:hAnsi="Arial"/>
                <w:sz w:val="16"/>
                <w:szCs w:val="16"/>
                <w:color w:val="auto"/>
              </w:rPr>
              <w:t>$40.00</w:t>
            </w:r>
          </w:p>
        </w:tc>
        <w:tc>
          <w:tcPr>
            <w:tcW w:w="260" w:type="dxa"/>
            <w:vAlign w:val="bottom"/>
          </w:tcPr>
          <w:p>
            <w:pPr>
              <w:ind w:left="16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line="175" w:lineRule="exact"/>
              <w:rPr>
                <w:sz w:val="20"/>
                <w:szCs w:val="20"/>
                <w:color w:val="auto"/>
              </w:rPr>
            </w:pPr>
            <w:r>
              <w:rPr>
                <w:rFonts w:ascii="Arial" w:cs="Arial" w:eastAsia="Arial" w:hAnsi="Arial"/>
                <w:sz w:val="16"/>
                <w:szCs w:val="16"/>
                <w:color w:val="auto"/>
                <w:w w:val="97"/>
              </w:rPr>
              <w:t>300%</w:t>
            </w:r>
          </w:p>
        </w:tc>
        <w:tc>
          <w:tcPr>
            <w:tcW w:w="240" w:type="dxa"/>
            <w:vAlign w:val="bottom"/>
          </w:tcPr>
          <w:p>
            <w:pPr>
              <w:jc w:val="right"/>
              <w:ind w:right="62"/>
              <w:spacing w:after="0"/>
              <w:rPr>
                <w:sz w:val="20"/>
                <w:szCs w:val="20"/>
                <w:color w:val="auto"/>
              </w:rPr>
            </w:pPr>
            <w:r>
              <w:rPr>
                <w:rFonts w:ascii="Arial" w:cs="Arial" w:eastAsia="Arial" w:hAnsi="Arial"/>
                <w:sz w:val="4"/>
                <w:szCs w:val="4"/>
                <w:color w:val="auto"/>
              </w:rPr>
              <w:t>​</w:t>
            </w:r>
          </w:p>
        </w:tc>
      </w:tr>
    </w:tbl>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prior to the termination of the award, the shares subject to the performance-based RSA were eligible to vest in connection with certain terminations of Mr. Young’s employment and/or a “change in control” (as defined in our 2018 Equity Incentive Plan), as described further below in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Welfare and Health Benefits</w:t>
      </w:r>
    </w:p>
    <w:p>
      <w:pPr>
        <w:spacing w:after="0" w:line="6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intend for the plan to qualify under Section 401(a)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that contributions by participants to the plan, and income earned on plan contributions, are not taxable to participants until withdrawn from the plan.</w:t>
      </w:r>
    </w:p>
    <w:p>
      <w:pPr>
        <w:spacing w:after="0" w:line="1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4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4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2022, the talent and compensation committee approved the provision of security measures to Messrs. Houston and Young. We consider the security measures provided to Messrs. Houston and Young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Mr. Houston participates in a security program with an annual limit of $250,000 in 2022. The talent and compensation committee periodically reviews the nature and cost of this program in relation to Mr. Houston’s security profile. The cost of the security services for Mr. Houston in 2022 was $15,000. Mr. Young received security services in 2022 with a cost of $4,000.</w:t>
      </w:r>
    </w:p>
    <w:p>
      <w:pPr>
        <w:spacing w:after="0" w:line="154"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Employment Arrangements</w:t>
      </w:r>
    </w:p>
    <w:p>
      <w:pPr>
        <w:spacing w:after="0" w:line="16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4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5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Our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Post-Employment Compensation</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5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4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Mr. Houston’s Co-Founder Grant (as described below) vests in connection with our acquisition, and as noted above, prior to the termination of the award in connection with Mr. Young’s resignation, the performance-based RSA granted to Mr. Young in November 2020 was eligible to vest in connection with certain terminations of Mr. Young’s employment and/or a “change in control” (as defined in our 2018 Equity Incentive Plan). Mr. Young’s resignation did not trigger any accelerated vesting of his RSA. See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 below for additional details.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Hedging and Pledging Prohibitions</w:t>
      </w:r>
    </w:p>
    <w:p>
      <w:pPr>
        <w:spacing w:after="0" w:line="5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sectPr>
      </w:pPr>
    </w:p>
    <w:bookmarkStart w:id="48" w:name="page49"/>
    <w:bookmarkEnd w:id="48"/>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auto"/>
        </w:rPr>
        <w:t> </w:t>
      </w:r>
    </w:p>
    <w:p>
      <w:pPr>
        <w:ind w:left="720"/>
        <w:spacing w:after="0"/>
        <w:rPr>
          <w:sz w:val="20"/>
          <w:szCs w:val="20"/>
          <w:color w:val="auto"/>
        </w:rPr>
      </w:pPr>
      <w:r>
        <w:rPr>
          <w:rFonts w:ascii="Arial" w:cs="Arial" w:eastAsia="Arial" w:hAnsi="Arial"/>
          <w:sz w:val="26"/>
          <w:szCs w:val="26"/>
          <w:color w:val="0063A6"/>
        </w:rPr>
        <w:t>Tax and Accounting Considerations</w:t>
      </w:r>
    </w:p>
    <w:p>
      <w:pPr>
        <w:spacing w:after="0" w:line="34"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66"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48" w:lineRule="exact"/>
        <w:rPr>
          <w:sz w:val="20"/>
          <w:szCs w:val="20"/>
          <w:color w:val="auto"/>
        </w:rPr>
      </w:pPr>
    </w:p>
    <w:p>
      <w:pPr>
        <w:ind w:left="720" w:right="1020"/>
        <w:spacing w:after="0" w:line="250" w:lineRule="auto"/>
        <w:rPr>
          <w:sz w:val="20"/>
          <w:szCs w:val="20"/>
          <w:color w:val="auto"/>
        </w:rPr>
      </w:pPr>
      <w:r>
        <w:rPr>
          <w:rFonts w:ascii="Arial" w:cs="Arial" w:eastAsia="Arial" w:hAnsi="Arial"/>
          <w:sz w:val="16"/>
          <w:szCs w:val="16"/>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or the best interests of our stockholders.</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66"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4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52"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53"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auto"/>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3" w:lineRule="exact"/>
        <w:rPr>
          <w:sz w:val="20"/>
          <w:szCs w:val="20"/>
          <w:color w:val="auto"/>
        </w:rPr>
      </w:pPr>
    </w:p>
    <w:p>
      <w:pPr>
        <w:ind w:left="720" w:right="820"/>
        <w:spacing w:after="0" w:line="260" w:lineRule="auto"/>
        <w:rPr>
          <w:sz w:val="20"/>
          <w:szCs w:val="20"/>
          <w:color w:val="auto"/>
        </w:rPr>
      </w:pPr>
      <w:r>
        <w:rPr>
          <w:rFonts w:ascii="Arial" w:cs="Arial" w:eastAsia="Arial" w:hAnsi="Arial"/>
          <w:sz w:val="16"/>
          <w:szCs w:val="16"/>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19685</wp:posOffset>
            </wp:positionV>
            <wp:extent cx="6077585" cy="1800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7585" cy="180022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Grant date</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580" w:type="dxa"/>
            <w:vAlign w:val="bottom"/>
            <w:shd w:val="clear" w:color="auto" w:fill="F2F2F2"/>
          </w:tcPr>
          <w:p>
            <w:pPr>
              <w:jc w:val="center"/>
              <w:ind w:right="719"/>
              <w:spacing w:after="0"/>
              <w:rPr>
                <w:sz w:val="20"/>
                <w:szCs w:val="20"/>
                <w:color w:val="auto"/>
              </w:rPr>
            </w:pPr>
            <w:r>
              <w:rPr>
                <w:rFonts w:ascii="Arial" w:cs="Arial" w:eastAsia="Arial" w:hAnsi="Arial"/>
                <w:sz w:val="16"/>
                <w:szCs w:val="16"/>
                <w:color w:val="auto"/>
              </w:rPr>
              <w:t>12/12/2017</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73"/>
        </w:trPr>
        <w:tc>
          <w:tcPr>
            <w:tcW w:w="720" w:type="dxa"/>
            <w:vAlign w:val="bottom"/>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35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r>
      <w:tr>
        <w:trPr>
          <w:trHeight w:val="278"/>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Expected IPO date</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1020" w:type="dxa"/>
            <w:vAlign w:val="bottom"/>
          </w:tcPr>
          <w:p>
            <w:pPr>
              <w:ind w:left="40"/>
              <w:spacing w:after="0"/>
              <w:rPr>
                <w:sz w:val="20"/>
                <w:szCs w:val="20"/>
                <w:color w:val="auto"/>
              </w:rPr>
            </w:pPr>
            <w:r>
              <w:rPr>
                <w:rFonts w:ascii="Arial" w:cs="Arial" w:eastAsia="Arial" w:hAnsi="Arial"/>
                <w:sz w:val="4"/>
                <w:szCs w:val="4"/>
                <w:color w:val="auto"/>
              </w:rPr>
              <w:t>​</w:t>
            </w:r>
          </w:p>
        </w:tc>
        <w:tc>
          <w:tcPr>
            <w:tcW w:w="3580" w:type="dxa"/>
            <w:vAlign w:val="bottom"/>
          </w:tcPr>
          <w:p>
            <w:pPr>
              <w:jc w:val="center"/>
              <w:ind w:right="699"/>
              <w:spacing w:after="0"/>
              <w:rPr>
                <w:sz w:val="20"/>
                <w:szCs w:val="20"/>
                <w:color w:val="auto"/>
              </w:rPr>
            </w:pPr>
            <w:r>
              <w:rPr>
                <w:rFonts w:ascii="Arial" w:cs="Arial" w:eastAsia="Arial" w:hAnsi="Arial"/>
                <w:sz w:val="16"/>
                <w:szCs w:val="16"/>
                <w:color w:val="auto"/>
              </w:rPr>
              <w:t>3/31/2018</w:t>
            </w:r>
          </w:p>
        </w:tc>
        <w:tc>
          <w:tcPr>
            <w:tcW w:w="960" w:type="dxa"/>
            <w:vAlign w:val="bottom"/>
            <w:gridSpan w:val="2"/>
          </w:tcPr>
          <w:p>
            <w:pPr>
              <w:ind w:left="120"/>
              <w:spacing w:after="0"/>
              <w:rPr>
                <w:sz w:val="20"/>
                <w:szCs w:val="20"/>
                <w:color w:val="auto"/>
              </w:rPr>
            </w:pPr>
            <w:r>
              <w:rPr>
                <w:rFonts w:ascii="Arial" w:cs="Arial" w:eastAsia="Arial" w:hAnsi="Arial"/>
                <w:sz w:val="4"/>
                <w:szCs w:val="4"/>
                <w:color w:val="auto"/>
              </w:rPr>
              <w:t>​</w:t>
            </w:r>
          </w:p>
        </w:tc>
      </w:tr>
      <w:tr>
        <w:trPr>
          <w:trHeight w:val="74"/>
        </w:trPr>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277"/>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Lock-up period</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580" w:type="dxa"/>
            <w:vAlign w:val="bottom"/>
            <w:shd w:val="clear" w:color="auto" w:fill="F2F2F2"/>
          </w:tcPr>
          <w:p>
            <w:pPr>
              <w:jc w:val="center"/>
              <w:ind w:right="719"/>
              <w:spacing w:after="0"/>
              <w:rPr>
                <w:sz w:val="20"/>
                <w:szCs w:val="20"/>
                <w:color w:val="auto"/>
              </w:rPr>
            </w:pPr>
            <w:r>
              <w:rPr>
                <w:rFonts w:ascii="Arial" w:cs="Arial" w:eastAsia="Arial" w:hAnsi="Arial"/>
                <w:sz w:val="16"/>
                <w:szCs w:val="16"/>
                <w:color w:val="auto"/>
                <w:w w:val="99"/>
              </w:rPr>
              <w:t>1/1/2019</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74"/>
        </w:trPr>
        <w:tc>
          <w:tcPr>
            <w:tcW w:w="720" w:type="dxa"/>
            <w:vAlign w:val="bottom"/>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35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r>
      <w:tr>
        <w:trPr>
          <w:trHeight w:val="277"/>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Expiration date</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1020" w:type="dxa"/>
            <w:vAlign w:val="bottom"/>
          </w:tcPr>
          <w:p>
            <w:pPr>
              <w:ind w:left="40"/>
              <w:spacing w:after="0"/>
              <w:rPr>
                <w:sz w:val="20"/>
                <w:szCs w:val="20"/>
                <w:color w:val="auto"/>
              </w:rPr>
            </w:pPr>
            <w:r>
              <w:rPr>
                <w:rFonts w:ascii="Arial" w:cs="Arial" w:eastAsia="Arial" w:hAnsi="Arial"/>
                <w:sz w:val="4"/>
                <w:szCs w:val="4"/>
                <w:color w:val="auto"/>
              </w:rPr>
              <w:t>​</w:t>
            </w:r>
          </w:p>
        </w:tc>
        <w:tc>
          <w:tcPr>
            <w:tcW w:w="3580" w:type="dxa"/>
            <w:vAlign w:val="bottom"/>
          </w:tcPr>
          <w:p>
            <w:pPr>
              <w:jc w:val="center"/>
              <w:ind w:right="699"/>
              <w:spacing w:after="0"/>
              <w:rPr>
                <w:sz w:val="20"/>
                <w:szCs w:val="20"/>
                <w:color w:val="auto"/>
              </w:rPr>
            </w:pPr>
            <w:r>
              <w:rPr>
                <w:rFonts w:ascii="Arial" w:cs="Arial" w:eastAsia="Arial" w:hAnsi="Arial"/>
                <w:sz w:val="16"/>
                <w:szCs w:val="16"/>
                <w:color w:val="auto"/>
              </w:rPr>
              <w:t>3/31/2028</w:t>
            </w:r>
          </w:p>
        </w:tc>
        <w:tc>
          <w:tcPr>
            <w:tcW w:w="960" w:type="dxa"/>
            <w:vAlign w:val="bottom"/>
            <w:gridSpan w:val="2"/>
          </w:tcPr>
          <w:p>
            <w:pPr>
              <w:ind w:left="120"/>
              <w:spacing w:after="0"/>
              <w:rPr>
                <w:sz w:val="20"/>
                <w:szCs w:val="20"/>
                <w:color w:val="auto"/>
              </w:rPr>
            </w:pPr>
            <w:r>
              <w:rPr>
                <w:rFonts w:ascii="Arial" w:cs="Arial" w:eastAsia="Arial" w:hAnsi="Arial"/>
                <w:sz w:val="4"/>
                <w:szCs w:val="4"/>
                <w:color w:val="auto"/>
              </w:rPr>
              <w:t>​</w:t>
            </w:r>
          </w:p>
        </w:tc>
      </w:tr>
      <w:tr>
        <w:trPr>
          <w:trHeight w:val="74"/>
        </w:trPr>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277"/>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Grant price</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580" w:type="dxa"/>
            <w:vAlign w:val="bottom"/>
            <w:shd w:val="clear" w:color="auto" w:fill="F2F2F2"/>
          </w:tcPr>
          <w:p>
            <w:pPr>
              <w:jc w:val="center"/>
              <w:ind w:right="719"/>
              <w:spacing w:after="0"/>
              <w:rPr>
                <w:sz w:val="20"/>
                <w:szCs w:val="20"/>
                <w:color w:val="auto"/>
              </w:rPr>
            </w:pPr>
            <w:r>
              <w:rPr>
                <w:rFonts w:ascii="Arial" w:cs="Arial" w:eastAsia="Arial" w:hAnsi="Arial"/>
                <w:sz w:val="16"/>
                <w:szCs w:val="16"/>
                <w:color w:val="auto"/>
              </w:rPr>
              <w:t>$17.15</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74"/>
        </w:trPr>
        <w:tc>
          <w:tcPr>
            <w:tcW w:w="720" w:type="dxa"/>
            <w:vAlign w:val="bottom"/>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35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r>
      <w:tr>
        <w:trPr>
          <w:trHeight w:val="278"/>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Expected volatility</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1020" w:type="dxa"/>
            <w:vAlign w:val="bottom"/>
          </w:tcPr>
          <w:p>
            <w:pPr>
              <w:ind w:left="40"/>
              <w:spacing w:after="0"/>
              <w:rPr>
                <w:sz w:val="20"/>
                <w:szCs w:val="20"/>
                <w:color w:val="auto"/>
              </w:rPr>
            </w:pPr>
            <w:r>
              <w:rPr>
                <w:rFonts w:ascii="Arial" w:cs="Arial" w:eastAsia="Arial" w:hAnsi="Arial"/>
                <w:sz w:val="4"/>
                <w:szCs w:val="4"/>
                <w:color w:val="auto"/>
              </w:rPr>
              <w:t>​</w:t>
            </w:r>
          </w:p>
        </w:tc>
        <w:tc>
          <w:tcPr>
            <w:tcW w:w="3580" w:type="dxa"/>
            <w:vAlign w:val="bottom"/>
          </w:tcPr>
          <w:p>
            <w:pPr>
              <w:jc w:val="center"/>
              <w:ind w:right="719"/>
              <w:spacing w:after="0"/>
              <w:rPr>
                <w:sz w:val="20"/>
                <w:szCs w:val="20"/>
                <w:color w:val="auto"/>
              </w:rPr>
            </w:pPr>
            <w:r>
              <w:rPr>
                <w:rFonts w:ascii="Arial" w:cs="Arial" w:eastAsia="Arial" w:hAnsi="Arial"/>
                <w:sz w:val="16"/>
                <w:szCs w:val="16"/>
                <w:color w:val="auto"/>
              </w:rPr>
              <w:t>40.0%</w:t>
            </w:r>
          </w:p>
        </w:tc>
        <w:tc>
          <w:tcPr>
            <w:tcW w:w="960" w:type="dxa"/>
            <w:vAlign w:val="bottom"/>
            <w:gridSpan w:val="2"/>
          </w:tcPr>
          <w:p>
            <w:pPr>
              <w:ind w:left="120"/>
              <w:spacing w:after="0"/>
              <w:rPr>
                <w:sz w:val="20"/>
                <w:szCs w:val="20"/>
                <w:color w:val="auto"/>
              </w:rPr>
            </w:pPr>
            <w:r>
              <w:rPr>
                <w:rFonts w:ascii="Arial" w:cs="Arial" w:eastAsia="Arial" w:hAnsi="Arial"/>
                <w:sz w:val="4"/>
                <w:szCs w:val="4"/>
                <w:color w:val="auto"/>
              </w:rPr>
              <w:t>​</w:t>
            </w:r>
          </w:p>
        </w:tc>
      </w:tr>
      <w:tr>
        <w:trPr>
          <w:trHeight w:val="74"/>
        </w:trPr>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277"/>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Risk-free interest rate (continuous)</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580" w:type="dxa"/>
            <w:vAlign w:val="bottom"/>
            <w:shd w:val="clear" w:color="auto" w:fill="F2F2F2"/>
          </w:tcPr>
          <w:p>
            <w:pPr>
              <w:jc w:val="center"/>
              <w:ind w:right="719"/>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74"/>
        </w:trPr>
        <w:tc>
          <w:tcPr>
            <w:tcW w:w="720" w:type="dxa"/>
            <w:vAlign w:val="bottom"/>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35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740" w:type="dxa"/>
            <w:vAlign w:val="bottom"/>
          </w:tcPr>
          <w:p>
            <w:pPr>
              <w:spacing w:after="0"/>
              <w:rPr>
                <w:sz w:val="6"/>
                <w:szCs w:val="6"/>
                <w:color w:val="auto"/>
              </w:rPr>
            </w:pPr>
          </w:p>
        </w:tc>
      </w:tr>
      <w:tr>
        <w:trPr>
          <w:trHeight w:val="277"/>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Expected dividends</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1020" w:type="dxa"/>
            <w:vAlign w:val="bottom"/>
          </w:tcPr>
          <w:p>
            <w:pPr>
              <w:ind w:left="40"/>
              <w:spacing w:after="0"/>
              <w:rPr>
                <w:sz w:val="20"/>
                <w:szCs w:val="20"/>
                <w:color w:val="auto"/>
              </w:rPr>
            </w:pPr>
            <w:r>
              <w:rPr>
                <w:rFonts w:ascii="Arial" w:cs="Arial" w:eastAsia="Arial" w:hAnsi="Arial"/>
                <w:sz w:val="4"/>
                <w:szCs w:val="4"/>
                <w:color w:val="auto"/>
              </w:rPr>
              <w:t>​</w:t>
            </w:r>
          </w:p>
        </w:tc>
        <w:tc>
          <w:tcPr>
            <w:tcW w:w="3580" w:type="dxa"/>
            <w:vAlign w:val="bottom"/>
          </w:tcPr>
          <w:p>
            <w:pPr>
              <w:jc w:val="center"/>
              <w:ind w:right="699"/>
              <w:spacing w:after="0"/>
              <w:rPr>
                <w:sz w:val="20"/>
                <w:szCs w:val="20"/>
                <w:color w:val="auto"/>
              </w:rPr>
            </w:pPr>
            <w:r>
              <w:rPr>
                <w:rFonts w:ascii="Arial" w:cs="Arial" w:eastAsia="Arial" w:hAnsi="Arial"/>
                <w:sz w:val="16"/>
                <w:szCs w:val="16"/>
                <w:color w:val="auto"/>
              </w:rPr>
              <w:t>0%</w:t>
            </w:r>
          </w:p>
        </w:tc>
        <w:tc>
          <w:tcPr>
            <w:tcW w:w="960" w:type="dxa"/>
            <w:vAlign w:val="bottom"/>
            <w:gridSpan w:val="2"/>
          </w:tcPr>
          <w:p>
            <w:pPr>
              <w:ind w:left="120"/>
              <w:spacing w:after="0"/>
              <w:rPr>
                <w:sz w:val="20"/>
                <w:szCs w:val="20"/>
                <w:color w:val="auto"/>
              </w:rPr>
            </w:pPr>
            <w:r>
              <w:rPr>
                <w:rFonts w:ascii="Arial" w:cs="Arial" w:eastAsia="Arial" w:hAnsi="Arial"/>
                <w:sz w:val="4"/>
                <w:szCs w:val="4"/>
                <w:color w:val="auto"/>
              </w:rPr>
              <w:t>​</w:t>
            </w:r>
          </w:p>
        </w:tc>
      </w:tr>
      <w:tr>
        <w:trPr>
          <w:trHeight w:val="467"/>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120" w:type="dxa"/>
            <w:vAlign w:val="bottom"/>
            <w:gridSpan w:val="3"/>
          </w:tcPr>
          <w:p>
            <w:pPr>
              <w:ind w:left="44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45</w:t>
            </w:r>
          </w:p>
        </w:tc>
      </w:tr>
      <w:tr>
        <w:trPr>
          <w:trHeight w:val="181"/>
        </w:trPr>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i w:val="1"/>
          <w:iCs w:val="1"/>
          <w:color w:val="auto"/>
        </w:rPr>
        <w:t xml:space="preserve">Expected grant date, expected IPO date, lock-up period, and expiration date. </w:t>
      </w:r>
      <w:r>
        <w:rPr>
          <w:rFonts w:ascii="Arial" w:cs="Arial" w:eastAsia="Arial" w:hAnsi="Arial"/>
          <w:sz w:val="16"/>
          <w:szCs w:val="16"/>
          <w:color w:val="auto"/>
        </w:rPr>
        <w:t>The Grant Date, expected IPO date, and the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lock-up period were estimates at the time of the valuation and correspond to the terms defined in the Restricted Stock Award Agreement.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Grant price. </w:t>
      </w:r>
      <w:r>
        <w:rPr>
          <w:rFonts w:ascii="Arial" w:cs="Arial" w:eastAsia="Arial" w:hAnsi="Arial"/>
          <w:sz w:val="16"/>
          <w:szCs w:val="16"/>
          <w:color w:val="auto"/>
        </w:rPr>
        <w:t>The grant priced is based on the valuation of Common Stock as of December 12, 2017.</w:t>
      </w:r>
    </w:p>
    <w:p>
      <w:pPr>
        <w:spacing w:after="0" w:line="167"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Expected volatility is based on the average of the implied volatility of the longer at-the-money call option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annualized daily return volatility over the greater of the trading history or the term for each one of the guideline companies. The concluded volatility is then based on the medium of the comparable companies.</w:t>
      </w:r>
    </w:p>
    <w:p>
      <w:pPr>
        <w:spacing w:after="0" w:line="12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interpolated based on the U.S. Treasury rates sourced from S&amp;P Capital IQ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term commensurate with the remaining performance period.</w:t>
      </w:r>
    </w:p>
    <w:p>
      <w:pPr>
        <w:spacing w:after="0" w:line="10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yield of zero.</w:t>
      </w:r>
    </w:p>
    <w:p>
      <w:pPr>
        <w:spacing w:after="0" w:line="1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estimated the grant date fair value of the performance-based RSA granted to Mr. Young in December 2020 using a model based on multiple stock price paths developed through the use of a Monte Carlo simulation that incorporates into the valuation the potential stock price goals that could be achieved during each measurement period. We would have recognized approximately $19.1 million in stock-based compensation expense associated with this award using the accelerated attribution method through February 15, 2024. We would have recognized stock-based compensation expense if the requisite service period was provided, regardless of whether the market conditions were achieved. Mr. Young’s employment with us ended on March 15, 2023, and as a result, the stock-based compensation expense associated with the unvested tranche was reversed and any future stock-based compensation expense that would have been taken was cancelled from the grant date through February 15, 2024.</w:t>
      </w:r>
    </w:p>
    <w:p>
      <w:pPr>
        <w:spacing w:after="0" w:line="15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fair value of Mr. Young's RSA,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077585" cy="11315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7585" cy="113157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Grant Date</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12/1/2020</w:t>
            </w:r>
          </w:p>
        </w:tc>
        <w:tc>
          <w:tcPr>
            <w:tcW w:w="980" w:type="dxa"/>
            <w:vAlign w:val="bottom"/>
            <w:shd w:val="clear" w:color="auto" w:fill="F2F2F2"/>
          </w:tcPr>
          <w:p>
            <w:pPr>
              <w:ind w:left="880"/>
              <w:spacing w:after="0"/>
              <w:rPr>
                <w:sz w:val="20"/>
                <w:szCs w:val="20"/>
                <w:color w:val="auto"/>
              </w:rPr>
            </w:pPr>
            <w:r>
              <w:rPr>
                <w:rFonts w:ascii="Arial" w:cs="Arial" w:eastAsia="Arial" w:hAnsi="Arial"/>
                <w:sz w:val="4"/>
                <w:szCs w:val="4"/>
                <w:color w:val="auto"/>
              </w:rPr>
              <w:t>​</w:t>
            </w:r>
          </w:p>
        </w:tc>
      </w:tr>
      <w:tr>
        <w:trPr>
          <w:trHeight w:val="73"/>
        </w:trPr>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960" w:type="dxa"/>
            <w:vAlign w:val="bottom"/>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Stock Price</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960" w:type="dxa"/>
            <w:vAlign w:val="bottom"/>
          </w:tcPr>
          <w:p>
            <w:pPr>
              <w:ind w:left="40"/>
              <w:spacing w:after="0"/>
              <w:rPr>
                <w:sz w:val="20"/>
                <w:szCs w:val="20"/>
                <w:color w:val="auto"/>
              </w:rPr>
            </w:pPr>
            <w:r>
              <w:rPr>
                <w:rFonts w:ascii="Arial" w:cs="Arial" w:eastAsia="Arial" w:hAnsi="Arial"/>
                <w:sz w:val="4"/>
                <w:szCs w:val="4"/>
                <w:color w:val="auto"/>
              </w:rPr>
              <w:t>​</w:t>
            </w:r>
          </w:p>
        </w:tc>
        <w:tc>
          <w:tcPr>
            <w:tcW w:w="2880" w:type="dxa"/>
            <w:vAlign w:val="bottom"/>
          </w:tcPr>
          <w:p>
            <w:pPr>
              <w:jc w:val="center"/>
              <w:spacing w:after="0"/>
              <w:rPr>
                <w:sz w:val="20"/>
                <w:szCs w:val="20"/>
                <w:color w:val="auto"/>
              </w:rPr>
            </w:pPr>
            <w:r>
              <w:rPr>
                <w:rFonts w:ascii="Arial" w:cs="Arial" w:eastAsia="Arial" w:hAnsi="Arial"/>
                <w:sz w:val="16"/>
                <w:szCs w:val="16"/>
                <w:color w:val="auto"/>
              </w:rPr>
              <w:t>$20.17</w:t>
            </w:r>
          </w:p>
        </w:tc>
        <w:tc>
          <w:tcPr>
            <w:tcW w:w="980" w:type="dxa"/>
            <w:vAlign w:val="bottom"/>
          </w:tcPr>
          <w:p>
            <w:pPr>
              <w:ind w:left="880"/>
              <w:spacing w:after="0"/>
              <w:rPr>
                <w:sz w:val="20"/>
                <w:szCs w:val="20"/>
                <w:color w:val="auto"/>
              </w:rPr>
            </w:pPr>
            <w:r>
              <w:rPr>
                <w:rFonts w:ascii="Arial" w:cs="Arial" w:eastAsia="Arial" w:hAnsi="Arial"/>
                <w:sz w:val="4"/>
                <w:szCs w:val="4"/>
                <w:color w:val="auto"/>
              </w:rPr>
              <w:t>​</w:t>
            </w:r>
          </w:p>
        </w:tc>
      </w:tr>
      <w:tr>
        <w:trPr>
          <w:trHeight w:val="74"/>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77"/>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Risk-free interest rate</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0.07% - 1.66%</w:t>
            </w:r>
          </w:p>
        </w:tc>
        <w:tc>
          <w:tcPr>
            <w:tcW w:w="980" w:type="dxa"/>
            <w:vAlign w:val="bottom"/>
            <w:shd w:val="clear" w:color="auto" w:fill="F2F2F2"/>
          </w:tcPr>
          <w:p>
            <w:pPr>
              <w:ind w:left="880"/>
              <w:spacing w:after="0"/>
              <w:rPr>
                <w:sz w:val="20"/>
                <w:szCs w:val="20"/>
                <w:color w:val="auto"/>
              </w:rPr>
            </w:pPr>
            <w:r>
              <w:rPr>
                <w:rFonts w:ascii="Arial" w:cs="Arial" w:eastAsia="Arial" w:hAnsi="Arial"/>
                <w:sz w:val="4"/>
                <w:szCs w:val="4"/>
                <w:color w:val="auto"/>
              </w:rPr>
              <w:t>​</w:t>
            </w:r>
          </w:p>
        </w:tc>
      </w:tr>
      <w:tr>
        <w:trPr>
          <w:trHeight w:val="74"/>
        </w:trPr>
        <w:tc>
          <w:tcPr>
            <w:tcW w:w="40" w:type="dxa"/>
            <w:vAlign w:val="bottom"/>
            <w:shd w:val="clear" w:color="auto" w:fill="F2F2F2"/>
          </w:tcPr>
          <w:p>
            <w:pPr>
              <w:spacing w:after="0"/>
              <w:rPr>
                <w:sz w:val="6"/>
                <w:szCs w:val="6"/>
                <w:color w:val="auto"/>
              </w:rPr>
            </w:pPr>
          </w:p>
        </w:tc>
        <w:tc>
          <w:tcPr>
            <w:tcW w:w="3180" w:type="dxa"/>
            <w:vAlign w:val="bottom"/>
            <w:shd w:val="clear" w:color="auto" w:fill="F2F2F2"/>
          </w:tcPr>
          <w:p>
            <w:pPr>
              <w:spacing w:after="0"/>
              <w:rPr>
                <w:sz w:val="6"/>
                <w:szCs w:val="6"/>
                <w:color w:val="auto"/>
              </w:rPr>
            </w:pPr>
          </w:p>
        </w:tc>
        <w:tc>
          <w:tcPr>
            <w:tcW w:w="1520" w:type="dxa"/>
            <w:vAlign w:val="bottom"/>
            <w:shd w:val="clear" w:color="auto" w:fill="F2F2F2"/>
          </w:tcPr>
          <w:p>
            <w:pPr>
              <w:spacing w:after="0"/>
              <w:rPr>
                <w:sz w:val="6"/>
                <w:szCs w:val="6"/>
                <w:color w:val="auto"/>
              </w:rPr>
            </w:pPr>
          </w:p>
        </w:tc>
        <w:tc>
          <w:tcPr>
            <w:tcW w:w="960" w:type="dxa"/>
            <w:vAlign w:val="bottom"/>
            <w:shd w:val="clear" w:color="auto" w:fill="F2F2F2"/>
          </w:tcPr>
          <w:p>
            <w:pPr>
              <w:spacing w:after="0"/>
              <w:rPr>
                <w:sz w:val="6"/>
                <w:szCs w:val="6"/>
                <w:color w:val="auto"/>
              </w:rPr>
            </w:pPr>
          </w:p>
        </w:tc>
        <w:tc>
          <w:tcPr>
            <w:tcW w:w="288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Expected volatility</w:t>
            </w:r>
          </w:p>
        </w:tc>
        <w:tc>
          <w:tcPr>
            <w:tcW w:w="1520" w:type="dxa"/>
            <w:vAlign w:val="bottom"/>
          </w:tcPr>
          <w:p>
            <w:pPr>
              <w:ind w:left="1460"/>
              <w:spacing w:after="0"/>
              <w:rPr>
                <w:sz w:val="20"/>
                <w:szCs w:val="20"/>
                <w:color w:val="auto"/>
              </w:rPr>
            </w:pPr>
            <w:r>
              <w:rPr>
                <w:rFonts w:ascii="Arial" w:cs="Arial" w:eastAsia="Arial" w:hAnsi="Arial"/>
                <w:sz w:val="4"/>
                <w:szCs w:val="4"/>
                <w:color w:val="auto"/>
              </w:rPr>
              <w:t>​</w:t>
            </w:r>
          </w:p>
        </w:tc>
        <w:tc>
          <w:tcPr>
            <w:tcW w:w="960" w:type="dxa"/>
            <w:vAlign w:val="bottom"/>
          </w:tcPr>
          <w:p>
            <w:pPr>
              <w:ind w:left="40"/>
              <w:spacing w:after="0"/>
              <w:rPr>
                <w:sz w:val="20"/>
                <w:szCs w:val="20"/>
                <w:color w:val="auto"/>
              </w:rPr>
            </w:pPr>
            <w:r>
              <w:rPr>
                <w:rFonts w:ascii="Arial" w:cs="Arial" w:eastAsia="Arial" w:hAnsi="Arial"/>
                <w:sz w:val="4"/>
                <w:szCs w:val="4"/>
                <w:color w:val="auto"/>
              </w:rPr>
              <w:t>​</w:t>
            </w:r>
          </w:p>
        </w:tc>
        <w:tc>
          <w:tcPr>
            <w:tcW w:w="2880" w:type="dxa"/>
            <w:vAlign w:val="bottom"/>
          </w:tcPr>
          <w:p>
            <w:pPr>
              <w:jc w:val="center"/>
              <w:spacing w:after="0"/>
              <w:rPr>
                <w:sz w:val="20"/>
                <w:szCs w:val="20"/>
                <w:color w:val="auto"/>
              </w:rPr>
            </w:pPr>
            <w:r>
              <w:rPr>
                <w:rFonts w:ascii="Arial" w:cs="Arial" w:eastAsia="Arial" w:hAnsi="Arial"/>
                <w:sz w:val="16"/>
                <w:szCs w:val="16"/>
                <w:color w:val="auto"/>
                <w:w w:val="99"/>
              </w:rPr>
              <w:t>48.38%</w:t>
            </w:r>
          </w:p>
        </w:tc>
        <w:tc>
          <w:tcPr>
            <w:tcW w:w="980" w:type="dxa"/>
            <w:vAlign w:val="bottom"/>
          </w:tcPr>
          <w:p>
            <w:pPr>
              <w:ind w:left="880"/>
              <w:spacing w:after="0"/>
              <w:rPr>
                <w:sz w:val="20"/>
                <w:szCs w:val="20"/>
                <w:color w:val="auto"/>
              </w:rPr>
            </w:pPr>
            <w:r>
              <w:rPr>
                <w:rFonts w:ascii="Arial" w:cs="Arial" w:eastAsia="Arial" w:hAnsi="Arial"/>
                <w:sz w:val="4"/>
                <w:szCs w:val="4"/>
                <w:color w:val="auto"/>
              </w:rPr>
              <w:t>​</w:t>
            </w: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7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Expected dividends</w:t>
            </w:r>
          </w:p>
        </w:tc>
        <w:tc>
          <w:tcPr>
            <w:tcW w:w="1520" w:type="dxa"/>
            <w:vAlign w:val="bottom"/>
            <w:shd w:val="clear" w:color="auto" w:fill="F2F2F2"/>
          </w:tcPr>
          <w:p>
            <w:pPr>
              <w:ind w:left="146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28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0%</w:t>
            </w:r>
          </w:p>
        </w:tc>
        <w:tc>
          <w:tcPr>
            <w:tcW w:w="980" w:type="dxa"/>
            <w:vAlign w:val="bottom"/>
            <w:shd w:val="clear" w:color="auto" w:fill="F2F2F2"/>
          </w:tcPr>
          <w:p>
            <w:pPr>
              <w:ind w:left="880"/>
              <w:spacing w:after="0"/>
              <w:rPr>
                <w:sz w:val="20"/>
                <w:szCs w:val="20"/>
                <w:color w:val="auto"/>
              </w:rPr>
            </w:pPr>
            <w:r>
              <w:rPr>
                <w:rFonts w:ascii="Arial" w:cs="Arial" w:eastAsia="Arial" w:hAnsi="Arial"/>
                <w:sz w:val="4"/>
                <w:szCs w:val="4"/>
                <w:color w:val="auto"/>
              </w:rPr>
              <w:t>​</w:t>
            </w:r>
          </w:p>
        </w:tc>
      </w:tr>
      <w:tr>
        <w:trPr>
          <w:trHeight w:val="60"/>
        </w:trPr>
        <w:tc>
          <w:tcPr>
            <w:tcW w:w="40" w:type="dxa"/>
            <w:vAlign w:val="bottom"/>
            <w:shd w:val="clear" w:color="auto" w:fill="F2F2F2"/>
          </w:tcPr>
          <w:p>
            <w:pPr>
              <w:spacing w:after="0"/>
              <w:rPr>
                <w:sz w:val="5"/>
                <w:szCs w:val="5"/>
                <w:color w:val="auto"/>
              </w:rPr>
            </w:pPr>
          </w:p>
        </w:tc>
        <w:tc>
          <w:tcPr>
            <w:tcW w:w="3180" w:type="dxa"/>
            <w:vAlign w:val="bottom"/>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960" w:type="dxa"/>
            <w:vAlign w:val="bottom"/>
            <w:shd w:val="clear" w:color="auto" w:fill="F2F2F2"/>
          </w:tcPr>
          <w:p>
            <w:pPr>
              <w:spacing w:after="0"/>
              <w:rPr>
                <w:sz w:val="5"/>
                <w:szCs w:val="5"/>
                <w:color w:val="auto"/>
              </w:rPr>
            </w:pPr>
          </w:p>
        </w:tc>
        <w:tc>
          <w:tcPr>
            <w:tcW w:w="288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r>
    </w:tbl>
    <w:p>
      <w:pPr>
        <w:spacing w:after="0" w:line="161"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i w:val="1"/>
          <w:iCs w:val="1"/>
          <w:color w:val="auto"/>
        </w:rPr>
        <w:t xml:space="preserve">Stock Price. </w:t>
      </w:r>
      <w:r>
        <w:rPr>
          <w:rFonts w:ascii="Arial" w:cs="Arial" w:eastAsia="Arial" w:hAnsi="Arial"/>
          <w:sz w:val="16"/>
          <w:szCs w:val="16"/>
          <w:color w:val="auto"/>
        </w:rPr>
        <w:t>The stock price used in a Monte Carlo simulation is based on the Company’s close price as of the valuation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 2020.</w:t>
      </w:r>
    </w:p>
    <w:p>
      <w:pPr>
        <w:spacing w:after="0" w:line="10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rate used in a Monte Carlo simulation is interpolated based on the U.S. Treasury rates sourced</w:t>
      </w:r>
      <w:r>
        <w:rPr>
          <w:rFonts w:ascii="Arial" w:cs="Arial" w:eastAsia="Arial" w:hAnsi="Arial"/>
          <w:sz w:val="16"/>
          <w:szCs w:val="16"/>
          <w:i w:val="1"/>
          <w:iCs w:val="1"/>
          <w:color w:val="auto"/>
        </w:rPr>
        <w:t xml:space="preserve"> </w:t>
      </w:r>
      <w:r>
        <w:rPr>
          <w:rFonts w:ascii="Arial" w:cs="Arial" w:eastAsia="Arial" w:hAnsi="Arial"/>
          <w:sz w:val="16"/>
          <w:szCs w:val="16"/>
          <w:color w:val="auto"/>
        </w:rPr>
        <w:t>from Department of the Treasury as of December 1, 2020 with a term commensurate with the remaining performance period.</w:t>
      </w:r>
    </w:p>
    <w:p>
      <w:pPr>
        <w:spacing w:after="0" w:line="10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volatility used in a Monte Carlo simulation is based on the Company's historical volatility.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is based on the equally weighted historical volatility of 45.50% and implied volatility of 51.26%. Historical volatility was estimated based on the Company’s share close price for the period September 26, 2018 to December 1, 2020. The implied volatility was retrieved from Bloomberg for the Company’s at-the-money options with maturity on December 29, 2023.</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yield of zero.</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46 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Report of the Compensation Committee</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talent and compensation committee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Sara Mathew (Chair)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Karen Peacock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Abhay Parasnis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Seibel</w:t>
      </w:r>
    </w:p>
    <w:p>
      <w:pPr>
        <w:spacing w:after="0" w:line="2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Compensation Risk Assessment</w:t>
      </w:r>
    </w:p>
    <w:p>
      <w:pPr>
        <w:spacing w:after="0" w:line="169"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48 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52" w:name="page53"/>
    <w:bookmarkEnd w:id="52"/>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ind w:left="4"/>
        <w:spacing w:after="0"/>
        <w:rPr>
          <w:sz w:val="20"/>
          <w:szCs w:val="20"/>
          <w:color w:val="auto"/>
        </w:rPr>
      </w:pPr>
      <w:r>
        <w:rPr>
          <w:rFonts w:ascii="Arial" w:cs="Arial" w:eastAsia="Arial" w:hAnsi="Arial"/>
          <w:sz w:val="26"/>
          <w:szCs w:val="26"/>
          <w:color w:val="0063A6"/>
        </w:rPr>
        <w:t>Summary Compensation Table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077585" cy="3351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7585" cy="3351530"/>
                    </a:xfrm>
                    <a:prstGeom prst="rect">
                      <a:avLst/>
                    </a:prstGeom>
                    <a:noFill/>
                  </pic:spPr>
                </pic:pic>
              </a:graphicData>
            </a:graphic>
          </wp:anchor>
        </w:drawing>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40" w:type="dxa"/>
            <w:vAlign w:val="bottom"/>
            <w:shd w:val="clear" w:color="auto" w:fill="0063A6"/>
          </w:tcPr>
          <w:p>
            <w:pPr>
              <w:spacing w:after="0"/>
              <w:rPr>
                <w:sz w:val="20"/>
                <w:szCs w:val="20"/>
                <w:color w:val="auto"/>
              </w:rPr>
            </w:pPr>
          </w:p>
        </w:tc>
        <w:tc>
          <w:tcPr>
            <w:tcW w:w="1960" w:type="dxa"/>
            <w:vAlign w:val="bottom"/>
            <w:shd w:val="clear" w:color="auto" w:fill="0063A6"/>
          </w:tcPr>
          <w:p>
            <w:pPr>
              <w:spacing w:after="0"/>
              <w:rPr>
                <w:sz w:val="20"/>
                <w:szCs w:val="20"/>
                <w:color w:val="auto"/>
              </w:rPr>
            </w:pPr>
          </w:p>
        </w:tc>
        <w:tc>
          <w:tcPr>
            <w:tcW w:w="200" w:type="dxa"/>
            <w:vAlign w:val="bottom"/>
            <w:shd w:val="clear" w:color="auto" w:fill="0063A6"/>
          </w:tcPr>
          <w:p>
            <w:pPr>
              <w:spacing w:after="0"/>
              <w:rPr>
                <w:sz w:val="20"/>
                <w:szCs w:val="20"/>
                <w:color w:val="auto"/>
              </w:rPr>
            </w:pPr>
          </w:p>
        </w:tc>
        <w:tc>
          <w:tcPr>
            <w:tcW w:w="180" w:type="dxa"/>
            <w:vAlign w:val="bottom"/>
            <w:shd w:val="clear" w:color="auto" w:fill="0063A6"/>
          </w:tcPr>
          <w:p>
            <w:pPr>
              <w:spacing w:after="0"/>
              <w:rPr>
                <w:sz w:val="20"/>
                <w:szCs w:val="20"/>
                <w:color w:val="auto"/>
              </w:rPr>
            </w:pPr>
          </w:p>
        </w:tc>
        <w:tc>
          <w:tcPr>
            <w:tcW w:w="340" w:type="dxa"/>
            <w:vAlign w:val="bottom"/>
            <w:shd w:val="clear" w:color="auto" w:fill="0063A6"/>
          </w:tcPr>
          <w:p>
            <w:pPr>
              <w:spacing w:after="0"/>
              <w:rPr>
                <w:sz w:val="20"/>
                <w:szCs w:val="20"/>
                <w:color w:val="auto"/>
              </w:rPr>
            </w:pPr>
          </w:p>
        </w:tc>
        <w:tc>
          <w:tcPr>
            <w:tcW w:w="100" w:type="dxa"/>
            <w:vAlign w:val="bottom"/>
            <w:shd w:val="clear" w:color="auto" w:fill="0063A6"/>
          </w:tcPr>
          <w:p>
            <w:pPr>
              <w:spacing w:after="0"/>
              <w:rPr>
                <w:sz w:val="20"/>
                <w:szCs w:val="20"/>
                <w:color w:val="auto"/>
              </w:rPr>
            </w:pPr>
          </w:p>
        </w:tc>
        <w:tc>
          <w:tcPr>
            <w:tcW w:w="180" w:type="dxa"/>
            <w:vAlign w:val="bottom"/>
            <w:shd w:val="clear" w:color="auto" w:fill="0063A6"/>
          </w:tcPr>
          <w:p>
            <w:pPr>
              <w:spacing w:after="0"/>
              <w:rPr>
                <w:sz w:val="20"/>
                <w:szCs w:val="20"/>
                <w:color w:val="auto"/>
              </w:rPr>
            </w:pPr>
          </w:p>
        </w:tc>
        <w:tc>
          <w:tcPr>
            <w:tcW w:w="600" w:type="dxa"/>
            <w:vAlign w:val="bottom"/>
            <w:shd w:val="clear" w:color="auto" w:fill="0063A6"/>
          </w:tcPr>
          <w:p>
            <w:pPr>
              <w:spacing w:after="0"/>
              <w:rPr>
                <w:sz w:val="20"/>
                <w:szCs w:val="20"/>
                <w:color w:val="auto"/>
              </w:rPr>
            </w:pPr>
          </w:p>
        </w:tc>
        <w:tc>
          <w:tcPr>
            <w:tcW w:w="100" w:type="dxa"/>
            <w:vAlign w:val="bottom"/>
            <w:shd w:val="clear" w:color="auto" w:fill="0063A6"/>
          </w:tcPr>
          <w:p>
            <w:pPr>
              <w:spacing w:after="0"/>
              <w:rPr>
                <w:sz w:val="20"/>
                <w:szCs w:val="20"/>
                <w:color w:val="auto"/>
              </w:rPr>
            </w:pPr>
          </w:p>
        </w:tc>
        <w:tc>
          <w:tcPr>
            <w:tcW w:w="180" w:type="dxa"/>
            <w:vAlign w:val="bottom"/>
            <w:shd w:val="clear" w:color="auto" w:fill="0063A6"/>
          </w:tcPr>
          <w:p>
            <w:pPr>
              <w:spacing w:after="0"/>
              <w:rPr>
                <w:sz w:val="20"/>
                <w:szCs w:val="20"/>
                <w:color w:val="auto"/>
              </w:rPr>
            </w:pPr>
          </w:p>
        </w:tc>
        <w:tc>
          <w:tcPr>
            <w:tcW w:w="440" w:type="dxa"/>
            <w:vAlign w:val="bottom"/>
            <w:shd w:val="clear" w:color="auto" w:fill="0063A6"/>
          </w:tcPr>
          <w:p>
            <w:pPr>
              <w:spacing w:after="0"/>
              <w:rPr>
                <w:sz w:val="20"/>
                <w:szCs w:val="20"/>
                <w:color w:val="auto"/>
              </w:rPr>
            </w:pPr>
          </w:p>
        </w:tc>
        <w:tc>
          <w:tcPr>
            <w:tcW w:w="160" w:type="dxa"/>
            <w:vAlign w:val="bottom"/>
            <w:shd w:val="clear" w:color="auto" w:fill="0063A6"/>
          </w:tcPr>
          <w:p>
            <w:pPr>
              <w:spacing w:after="0"/>
              <w:rPr>
                <w:sz w:val="20"/>
                <w:szCs w:val="20"/>
                <w:color w:val="auto"/>
              </w:rPr>
            </w:pPr>
          </w:p>
        </w:tc>
        <w:tc>
          <w:tcPr>
            <w:tcW w:w="240" w:type="dxa"/>
            <w:vAlign w:val="bottom"/>
            <w:shd w:val="clear" w:color="auto" w:fill="0063A6"/>
          </w:tcPr>
          <w:p>
            <w:pPr>
              <w:spacing w:after="0"/>
              <w:rPr>
                <w:sz w:val="20"/>
                <w:szCs w:val="20"/>
                <w:color w:val="auto"/>
              </w:rPr>
            </w:pPr>
          </w:p>
        </w:tc>
        <w:tc>
          <w:tcPr>
            <w:tcW w:w="1040" w:type="dxa"/>
            <w:vAlign w:val="bottom"/>
            <w:shd w:val="clear" w:color="auto" w:fill="0063A6"/>
          </w:tcPr>
          <w:p>
            <w:pPr>
              <w:spacing w:after="0"/>
              <w:rPr>
                <w:sz w:val="20"/>
                <w:szCs w:val="20"/>
                <w:color w:val="auto"/>
              </w:rPr>
            </w:pPr>
          </w:p>
        </w:tc>
        <w:tc>
          <w:tcPr>
            <w:tcW w:w="100" w:type="dxa"/>
            <w:vAlign w:val="bottom"/>
            <w:shd w:val="clear" w:color="auto" w:fill="0063A6"/>
          </w:tcPr>
          <w:p>
            <w:pPr>
              <w:spacing w:after="0"/>
              <w:rPr>
                <w:sz w:val="20"/>
                <w:szCs w:val="20"/>
                <w:color w:val="auto"/>
              </w:rPr>
            </w:pPr>
          </w:p>
        </w:tc>
        <w:tc>
          <w:tcPr>
            <w:tcW w:w="180" w:type="dxa"/>
            <w:vAlign w:val="bottom"/>
            <w:shd w:val="clear" w:color="auto" w:fill="0063A6"/>
          </w:tcPr>
          <w:p>
            <w:pPr>
              <w:spacing w:after="0"/>
              <w:rPr>
                <w:sz w:val="20"/>
                <w:szCs w:val="20"/>
                <w:color w:val="auto"/>
              </w:rPr>
            </w:pP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Non-equity</w:t>
            </w:r>
          </w:p>
        </w:tc>
        <w:tc>
          <w:tcPr>
            <w:tcW w:w="120" w:type="dxa"/>
            <w:vAlign w:val="bottom"/>
            <w:shd w:val="clear" w:color="auto" w:fill="0063A6"/>
          </w:tcPr>
          <w:p>
            <w:pPr>
              <w:spacing w:after="0"/>
              <w:rPr>
                <w:sz w:val="20"/>
                <w:szCs w:val="20"/>
                <w:color w:val="auto"/>
              </w:rPr>
            </w:pPr>
          </w:p>
        </w:tc>
        <w:tc>
          <w:tcPr>
            <w:tcW w:w="160" w:type="dxa"/>
            <w:vAlign w:val="bottom"/>
            <w:shd w:val="clear" w:color="auto" w:fill="0063A6"/>
          </w:tcPr>
          <w:p>
            <w:pPr>
              <w:spacing w:after="0"/>
              <w:rPr>
                <w:sz w:val="20"/>
                <w:szCs w:val="20"/>
                <w:color w:val="auto"/>
              </w:rPr>
            </w:pPr>
          </w:p>
        </w:tc>
        <w:tc>
          <w:tcPr>
            <w:tcW w:w="980" w:type="dxa"/>
            <w:vAlign w:val="bottom"/>
            <w:shd w:val="clear" w:color="auto" w:fill="0063A6"/>
          </w:tcPr>
          <w:p>
            <w:pPr>
              <w:spacing w:after="0"/>
              <w:rPr>
                <w:sz w:val="20"/>
                <w:szCs w:val="20"/>
                <w:color w:val="auto"/>
              </w:rPr>
            </w:pPr>
          </w:p>
        </w:tc>
        <w:tc>
          <w:tcPr>
            <w:tcW w:w="160" w:type="dxa"/>
            <w:vAlign w:val="bottom"/>
            <w:shd w:val="clear" w:color="auto" w:fill="0063A6"/>
          </w:tcPr>
          <w:p>
            <w:pPr>
              <w:spacing w:after="0"/>
              <w:rPr>
                <w:sz w:val="20"/>
                <w:szCs w:val="20"/>
                <w:color w:val="auto"/>
              </w:rPr>
            </w:pPr>
          </w:p>
        </w:tc>
        <w:tc>
          <w:tcPr>
            <w:tcW w:w="160" w:type="dxa"/>
            <w:vAlign w:val="bottom"/>
            <w:shd w:val="clear" w:color="auto" w:fill="0063A6"/>
          </w:tcPr>
          <w:p>
            <w:pPr>
              <w:spacing w:after="0"/>
              <w:rPr>
                <w:sz w:val="20"/>
                <w:szCs w:val="20"/>
                <w:color w:val="auto"/>
              </w:rPr>
            </w:pPr>
          </w:p>
        </w:tc>
        <w:tc>
          <w:tcPr>
            <w:tcW w:w="800" w:type="dxa"/>
            <w:vAlign w:val="bottom"/>
            <w:shd w:val="clear" w:color="auto" w:fill="0063A6"/>
          </w:tcPr>
          <w:p>
            <w:pPr>
              <w:spacing w:after="0"/>
              <w:rPr>
                <w:sz w:val="20"/>
                <w:szCs w:val="20"/>
                <w:color w:val="auto"/>
              </w:rPr>
            </w:pPr>
          </w:p>
        </w:tc>
        <w:tc>
          <w:tcPr>
            <w:tcW w:w="12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0063A6"/>
          </w:tcPr>
          <w:p>
            <w:pPr>
              <w:spacing w:after="0"/>
              <w:rPr>
                <w:sz w:val="12"/>
                <w:szCs w:val="12"/>
                <w:color w:val="auto"/>
              </w:rPr>
            </w:pPr>
          </w:p>
        </w:tc>
        <w:tc>
          <w:tcPr>
            <w:tcW w:w="1960" w:type="dxa"/>
            <w:vAlign w:val="bottom"/>
            <w:shd w:val="clear" w:color="auto" w:fill="0063A6"/>
          </w:tcPr>
          <w:p>
            <w:pPr>
              <w:spacing w:after="0"/>
              <w:rPr>
                <w:sz w:val="12"/>
                <w:szCs w:val="12"/>
                <w:color w:val="auto"/>
              </w:rPr>
            </w:pPr>
          </w:p>
        </w:tc>
        <w:tc>
          <w:tcPr>
            <w:tcW w:w="2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34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60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44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240" w:type="dxa"/>
            <w:vAlign w:val="bottom"/>
            <w:shd w:val="clear" w:color="auto" w:fill="0063A6"/>
          </w:tcPr>
          <w:p>
            <w:pPr>
              <w:spacing w:after="0"/>
              <w:rPr>
                <w:sz w:val="12"/>
                <w:szCs w:val="12"/>
                <w:color w:val="auto"/>
              </w:rPr>
            </w:pPr>
          </w:p>
        </w:tc>
        <w:tc>
          <w:tcPr>
            <w:tcW w:w="1040" w:type="dxa"/>
            <w:vAlign w:val="bottom"/>
            <w:shd w:val="clear" w:color="auto" w:fill="0063A6"/>
          </w:tcPr>
          <w:p>
            <w:pPr>
              <w:jc w:val="right"/>
              <w:ind w:right="268"/>
              <w:spacing w:after="0" w:line="149" w:lineRule="exact"/>
              <w:rPr>
                <w:sz w:val="20"/>
                <w:szCs w:val="20"/>
                <w:color w:val="auto"/>
              </w:rPr>
            </w:pPr>
            <w:r>
              <w:rPr>
                <w:rFonts w:ascii="Arial" w:cs="Arial" w:eastAsia="Arial" w:hAnsi="Arial"/>
                <w:sz w:val="14"/>
                <w:szCs w:val="14"/>
                <w:b w:val="1"/>
                <w:bCs w:val="1"/>
                <w:color w:val="FFFFFF"/>
              </w:rPr>
              <w:t>Stock</w:t>
            </w:r>
          </w:p>
        </w:tc>
        <w:tc>
          <w:tcPr>
            <w:tcW w:w="100" w:type="dxa"/>
            <w:vAlign w:val="bottom"/>
            <w:shd w:val="clear" w:color="auto" w:fill="0063A6"/>
          </w:tcPr>
          <w:p>
            <w:pPr>
              <w:spacing w:after="0"/>
              <w:rPr>
                <w:sz w:val="12"/>
                <w:szCs w:val="12"/>
                <w:color w:val="auto"/>
              </w:rPr>
            </w:pPr>
          </w:p>
        </w:tc>
        <w:tc>
          <w:tcPr>
            <w:tcW w:w="180" w:type="dxa"/>
            <w:vAlign w:val="bottom"/>
            <w:shd w:val="clear" w:color="auto" w:fill="0063A6"/>
          </w:tcPr>
          <w:p>
            <w:pPr>
              <w:spacing w:after="0"/>
              <w:rPr>
                <w:sz w:val="12"/>
                <w:szCs w:val="12"/>
                <w:color w:val="auto"/>
              </w:rPr>
            </w:pPr>
          </w:p>
        </w:tc>
        <w:tc>
          <w:tcPr>
            <w:tcW w:w="1020" w:type="dxa"/>
            <w:vAlign w:val="bottom"/>
            <w:shd w:val="clear" w:color="auto" w:fill="0063A6"/>
          </w:tcPr>
          <w:p>
            <w:pPr>
              <w:jc w:val="center"/>
              <w:spacing w:after="0" w:line="149" w:lineRule="exact"/>
              <w:rPr>
                <w:sz w:val="20"/>
                <w:szCs w:val="20"/>
                <w:color w:val="auto"/>
              </w:rPr>
            </w:pPr>
            <w:r>
              <w:rPr>
                <w:rFonts w:ascii="Arial" w:cs="Arial" w:eastAsia="Arial" w:hAnsi="Arial"/>
                <w:sz w:val="14"/>
                <w:szCs w:val="14"/>
                <w:b w:val="1"/>
                <w:bCs w:val="1"/>
                <w:color w:val="FFFFFF"/>
                <w:w w:val="99"/>
              </w:rPr>
              <w:t>Incentive Plan</w:t>
            </w:r>
          </w:p>
        </w:tc>
        <w:tc>
          <w:tcPr>
            <w:tcW w:w="12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980" w:type="dxa"/>
            <w:vAlign w:val="bottom"/>
            <w:shd w:val="clear" w:color="auto" w:fill="0063A6"/>
          </w:tcPr>
          <w:p>
            <w:pPr>
              <w:ind w:left="240"/>
              <w:spacing w:after="0" w:line="149" w:lineRule="exact"/>
              <w:rPr>
                <w:sz w:val="20"/>
                <w:szCs w:val="20"/>
                <w:color w:val="auto"/>
              </w:rPr>
            </w:pPr>
            <w:r>
              <w:rPr>
                <w:rFonts w:ascii="Arial" w:cs="Arial" w:eastAsia="Arial" w:hAnsi="Arial"/>
                <w:sz w:val="14"/>
                <w:szCs w:val="14"/>
                <w:b w:val="1"/>
                <w:bCs w:val="1"/>
                <w:color w:val="FFFFFF"/>
              </w:rPr>
              <w:t>All Other</w:t>
            </w:r>
          </w:p>
        </w:tc>
        <w:tc>
          <w:tcPr>
            <w:tcW w:w="1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8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960" w:type="dxa"/>
            <w:vAlign w:val="bottom"/>
            <w:shd w:val="clear" w:color="auto" w:fill="0063A6"/>
          </w:tcPr>
          <w:p>
            <w:pPr>
              <w:spacing w:after="0"/>
              <w:rPr>
                <w:sz w:val="15"/>
                <w:szCs w:val="15"/>
                <w:color w:val="auto"/>
              </w:rPr>
            </w:pPr>
          </w:p>
        </w:tc>
        <w:tc>
          <w:tcPr>
            <w:tcW w:w="2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8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spacing w:after="0"/>
              <w:rPr>
                <w:sz w:val="15"/>
                <w:szCs w:val="15"/>
                <w:color w:val="auto"/>
              </w:rPr>
            </w:pPr>
          </w:p>
        </w:tc>
        <w:tc>
          <w:tcPr>
            <w:tcW w:w="100" w:type="dxa"/>
            <w:vAlign w:val="bottom"/>
            <w:shd w:val="clear" w:color="auto" w:fill="0063A6"/>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0063A6"/>
          </w:tcPr>
          <w:p>
            <w:pPr>
              <w:jc w:val="right"/>
              <w:ind w:right="71"/>
              <w:spacing w:after="0"/>
              <w:rPr>
                <w:sz w:val="20"/>
                <w:szCs w:val="20"/>
                <w:color w:val="auto"/>
              </w:rPr>
            </w:pPr>
            <w:r>
              <w:rPr>
                <w:rFonts w:ascii="Arial" w:cs="Arial" w:eastAsia="Arial" w:hAnsi="Arial"/>
                <w:sz w:val="14"/>
                <w:szCs w:val="14"/>
                <w:b w:val="1"/>
                <w:bCs w:val="1"/>
                <w:color w:val="FFFFFF"/>
              </w:rPr>
              <w:t xml:space="preserve">Salary </w:t>
            </w:r>
            <w:r>
              <w:rPr>
                <w:rFonts w:ascii="Arial" w:cs="Arial" w:eastAsia="Arial" w:hAnsi="Arial"/>
                <w:sz w:val="7"/>
                <w:szCs w:val="7"/>
                <w:color w:val="000000"/>
                <w:vertAlign w:val="superscript"/>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60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7"/>
                <w:szCs w:val="7"/>
                <w:color w:val="000000"/>
                <w:vertAlign w:val="superscript"/>
              </w:rPr>
              <w:t>​</w:t>
            </w:r>
          </w:p>
        </w:tc>
        <w:tc>
          <w:tcPr>
            <w:tcW w:w="2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040" w:type="dxa"/>
            <w:vAlign w:val="bottom"/>
            <w:shd w:val="clear" w:color="auto" w:fill="0063A6"/>
          </w:tcPr>
          <w:p>
            <w:pPr>
              <w:jc w:val="right"/>
              <w:ind w:right="208"/>
              <w:spacing w:after="0"/>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0063A6"/>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114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Compensation </w:t>
            </w:r>
            <w:r>
              <w:rPr>
                <w:rFonts w:ascii="Arial" w:cs="Arial" w:eastAsia="Arial" w:hAnsi="Arial"/>
                <w:sz w:val="7"/>
                <w:szCs w:val="7"/>
                <w:color w:val="000000"/>
                <w:vertAlign w:val="superscript"/>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14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7"/>
                <w:szCs w:val="7"/>
                <w:color w:val="000000"/>
                <w:vertAlign w:val="superscript"/>
              </w:rPr>
              <w:t>​</w:t>
            </w:r>
          </w:p>
        </w:tc>
        <w:tc>
          <w:tcPr>
            <w:tcW w:w="16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800" w:type="dxa"/>
            <w:vAlign w:val="bottom"/>
            <w:shd w:val="clear" w:color="auto" w:fill="0063A6"/>
          </w:tcPr>
          <w:p>
            <w:pPr>
              <w:ind w:left="260"/>
              <w:spacing w:after="0"/>
              <w:rPr>
                <w:sz w:val="20"/>
                <w:szCs w:val="20"/>
                <w:color w:val="auto"/>
              </w:rPr>
            </w:pPr>
            <w:r>
              <w:rPr>
                <w:rFonts w:ascii="Arial" w:cs="Arial" w:eastAsia="Arial" w:hAnsi="Arial"/>
                <w:sz w:val="14"/>
                <w:szCs w:val="14"/>
                <w:b w:val="1"/>
                <w:bCs w:val="1"/>
                <w:color w:val="FFFFFF"/>
              </w:rPr>
              <w:t>Total</w:t>
            </w:r>
          </w:p>
        </w:tc>
        <w:tc>
          <w:tcPr>
            <w:tcW w:w="120" w:type="dxa"/>
            <w:vAlign w:val="bottom"/>
            <w:shd w:val="clear" w:color="auto" w:fill="0063A6"/>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0063A6"/>
          </w:tcPr>
          <w:p>
            <w:pPr>
              <w:spacing w:after="0"/>
              <w:rPr>
                <w:sz w:val="23"/>
                <w:szCs w:val="23"/>
                <w:color w:val="auto"/>
              </w:rPr>
            </w:pPr>
          </w:p>
        </w:tc>
        <w:tc>
          <w:tcPr>
            <w:tcW w:w="196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200" w:type="dxa"/>
            <w:vAlign w:val="bottom"/>
            <w:shd w:val="clear" w:color="auto" w:fill="0063A6"/>
          </w:tcPr>
          <w:p>
            <w:pPr>
              <w:spacing w:after="0"/>
              <w:rPr>
                <w:sz w:val="23"/>
                <w:szCs w:val="23"/>
                <w:color w:val="auto"/>
              </w:rPr>
            </w:pPr>
          </w:p>
        </w:tc>
        <w:tc>
          <w:tcPr>
            <w:tcW w:w="180" w:type="dxa"/>
            <w:vAlign w:val="bottom"/>
            <w:shd w:val="clear" w:color="auto" w:fill="0063A6"/>
          </w:tcPr>
          <w:p>
            <w:pPr>
              <w:spacing w:after="0"/>
              <w:rPr>
                <w:sz w:val="23"/>
                <w:szCs w:val="23"/>
                <w:color w:val="auto"/>
              </w:rPr>
            </w:pPr>
          </w:p>
        </w:tc>
        <w:tc>
          <w:tcPr>
            <w:tcW w:w="3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w w:val="98"/>
              </w:rPr>
              <w:t>Year</w:t>
            </w:r>
          </w:p>
        </w:tc>
        <w:tc>
          <w:tcPr>
            <w:tcW w:w="100" w:type="dxa"/>
            <w:vAlign w:val="bottom"/>
            <w:shd w:val="clear" w:color="auto" w:fill="0063A6"/>
          </w:tcPr>
          <w:p>
            <w:pPr>
              <w:spacing w:after="0"/>
              <w:rPr>
                <w:sz w:val="23"/>
                <w:szCs w:val="23"/>
                <w:color w:val="auto"/>
              </w:rPr>
            </w:pPr>
          </w:p>
        </w:tc>
        <w:tc>
          <w:tcPr>
            <w:tcW w:w="180" w:type="dxa"/>
            <w:vAlign w:val="bottom"/>
            <w:shd w:val="clear" w:color="auto" w:fill="0063A6"/>
          </w:tcPr>
          <w:p>
            <w:pPr>
              <w:spacing w:after="0"/>
              <w:rPr>
                <w:sz w:val="23"/>
                <w:szCs w:val="23"/>
                <w:color w:val="auto"/>
              </w:rPr>
            </w:pPr>
          </w:p>
        </w:tc>
        <w:tc>
          <w:tcPr>
            <w:tcW w:w="600" w:type="dxa"/>
            <w:vAlign w:val="bottom"/>
            <w:shd w:val="clear" w:color="auto" w:fill="0063A6"/>
          </w:tcPr>
          <w:p>
            <w:pPr>
              <w:jc w:val="right"/>
              <w:ind w:right="88"/>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63A6"/>
          </w:tcPr>
          <w:p>
            <w:pPr>
              <w:spacing w:after="0"/>
              <w:rPr>
                <w:sz w:val="23"/>
                <w:szCs w:val="23"/>
                <w:color w:val="auto"/>
              </w:rPr>
            </w:pPr>
          </w:p>
        </w:tc>
        <w:tc>
          <w:tcPr>
            <w:tcW w:w="180" w:type="dxa"/>
            <w:vAlign w:val="bottom"/>
            <w:shd w:val="clear" w:color="auto" w:fill="0063A6"/>
          </w:tcPr>
          <w:p>
            <w:pPr>
              <w:spacing w:after="0"/>
              <w:rPr>
                <w:sz w:val="23"/>
                <w:szCs w:val="23"/>
                <w:color w:val="auto"/>
              </w:rPr>
            </w:pPr>
          </w:p>
        </w:tc>
        <w:tc>
          <w:tcPr>
            <w:tcW w:w="440" w:type="dxa"/>
            <w:vAlign w:val="bottom"/>
            <w:shd w:val="clear" w:color="auto" w:fill="0063A6"/>
          </w:tcPr>
          <w:p>
            <w:pPr>
              <w:jc w:val="center"/>
              <w:ind w:left="48"/>
              <w:spacing w:after="0"/>
              <w:rPr>
                <w:sz w:val="20"/>
                <w:szCs w:val="20"/>
                <w:color w:val="auto"/>
              </w:rPr>
            </w:pPr>
            <w:r>
              <w:rPr>
                <w:rFonts w:ascii="Arial" w:cs="Arial" w:eastAsia="Arial" w:hAnsi="Arial"/>
                <w:sz w:val="14"/>
                <w:szCs w:val="14"/>
                <w:b w:val="1"/>
                <w:bCs w:val="1"/>
                <w:color w:val="FFFFFF"/>
                <w:w w:val="93"/>
              </w:rPr>
              <w:t>($)</w:t>
            </w:r>
          </w:p>
        </w:tc>
        <w:tc>
          <w:tcPr>
            <w:tcW w:w="160" w:type="dxa"/>
            <w:vAlign w:val="bottom"/>
            <w:shd w:val="clear" w:color="auto" w:fill="0063A6"/>
          </w:tcPr>
          <w:p>
            <w:pPr>
              <w:spacing w:after="0"/>
              <w:rPr>
                <w:sz w:val="23"/>
                <w:szCs w:val="23"/>
                <w:color w:val="auto"/>
              </w:rPr>
            </w:pPr>
          </w:p>
        </w:tc>
        <w:tc>
          <w:tcPr>
            <w:tcW w:w="240" w:type="dxa"/>
            <w:vAlign w:val="bottom"/>
            <w:shd w:val="clear" w:color="auto" w:fill="0063A6"/>
          </w:tcPr>
          <w:p>
            <w:pPr>
              <w:spacing w:after="0"/>
              <w:rPr>
                <w:sz w:val="23"/>
                <w:szCs w:val="23"/>
                <w:color w:val="auto"/>
              </w:rPr>
            </w:pPr>
          </w:p>
        </w:tc>
        <w:tc>
          <w:tcPr>
            <w:tcW w:w="10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00" w:type="dxa"/>
            <w:vAlign w:val="bottom"/>
            <w:shd w:val="clear" w:color="auto" w:fill="0063A6"/>
          </w:tcPr>
          <w:p>
            <w:pPr>
              <w:spacing w:after="0"/>
              <w:rPr>
                <w:sz w:val="23"/>
                <w:szCs w:val="23"/>
                <w:color w:val="auto"/>
              </w:rPr>
            </w:pPr>
          </w:p>
        </w:tc>
        <w:tc>
          <w:tcPr>
            <w:tcW w:w="180" w:type="dxa"/>
            <w:vAlign w:val="bottom"/>
            <w:shd w:val="clear" w:color="auto" w:fill="0063A6"/>
          </w:tcPr>
          <w:p>
            <w:pPr>
              <w:spacing w:after="0"/>
              <w:rPr>
                <w:sz w:val="23"/>
                <w:szCs w:val="23"/>
                <w:color w:val="auto"/>
              </w:rPr>
            </w:pPr>
          </w:p>
        </w:tc>
        <w:tc>
          <w:tcPr>
            <w:tcW w:w="102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23"/>
                <w:szCs w:val="23"/>
                <w:b w:val="1"/>
                <w:bCs w:val="1"/>
                <w:color w:val="FFFFFF"/>
                <w:w w:val="83"/>
                <w:vertAlign w:val="superscript"/>
              </w:rPr>
              <w:t>(2)</w:t>
            </w:r>
          </w:p>
        </w:tc>
        <w:tc>
          <w:tcPr>
            <w:tcW w:w="120" w:type="dxa"/>
            <w:vAlign w:val="bottom"/>
            <w:shd w:val="clear" w:color="auto" w:fill="0063A6"/>
          </w:tcPr>
          <w:p>
            <w:pPr>
              <w:spacing w:after="0"/>
              <w:rPr>
                <w:sz w:val="23"/>
                <w:szCs w:val="23"/>
                <w:color w:val="auto"/>
              </w:rPr>
            </w:pPr>
          </w:p>
        </w:tc>
        <w:tc>
          <w:tcPr>
            <w:tcW w:w="160" w:type="dxa"/>
            <w:vAlign w:val="bottom"/>
            <w:shd w:val="clear" w:color="auto" w:fill="0063A6"/>
          </w:tcPr>
          <w:p>
            <w:pPr>
              <w:spacing w:after="0"/>
              <w:rPr>
                <w:sz w:val="23"/>
                <w:szCs w:val="23"/>
                <w:color w:val="auto"/>
              </w:rPr>
            </w:pPr>
          </w:p>
        </w:tc>
        <w:tc>
          <w:tcPr>
            <w:tcW w:w="980" w:type="dxa"/>
            <w:vAlign w:val="bottom"/>
            <w:shd w:val="clear" w:color="auto" w:fill="0063A6"/>
          </w:tcPr>
          <w:p>
            <w:pPr>
              <w:ind w:left="40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160" w:type="dxa"/>
            <w:vAlign w:val="bottom"/>
            <w:shd w:val="clear" w:color="auto" w:fill="0063A6"/>
          </w:tcPr>
          <w:p>
            <w:pPr>
              <w:spacing w:after="0"/>
              <w:rPr>
                <w:sz w:val="23"/>
                <w:szCs w:val="23"/>
                <w:color w:val="auto"/>
              </w:rPr>
            </w:pPr>
          </w:p>
        </w:tc>
        <w:tc>
          <w:tcPr>
            <w:tcW w:w="160" w:type="dxa"/>
            <w:vAlign w:val="bottom"/>
            <w:shd w:val="clear" w:color="auto" w:fill="0063A6"/>
          </w:tcPr>
          <w:p>
            <w:pPr>
              <w:spacing w:after="0"/>
              <w:rPr>
                <w:sz w:val="23"/>
                <w:szCs w:val="23"/>
                <w:color w:val="auto"/>
              </w:rPr>
            </w:pPr>
          </w:p>
        </w:tc>
        <w:tc>
          <w:tcPr>
            <w:tcW w:w="80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0" w:type="dxa"/>
            <w:vAlign w:val="bottom"/>
            <w:shd w:val="clear" w:color="auto" w:fill="F2F2F2"/>
          </w:tcPr>
          <w:p>
            <w:pPr>
              <w:spacing w:after="0"/>
              <w:rPr>
                <w:sz w:val="24"/>
                <w:szCs w:val="24"/>
                <w:color w:val="auto"/>
              </w:rPr>
            </w:pPr>
          </w:p>
        </w:tc>
        <w:tc>
          <w:tcPr>
            <w:tcW w:w="1960" w:type="dxa"/>
            <w:vAlign w:val="bottom"/>
            <w:vMerge w:val="restart"/>
            <w:shd w:val="clear" w:color="auto" w:fill="F2F2F2"/>
          </w:tcPr>
          <w:p>
            <w:pPr>
              <w:ind w:left="40"/>
              <w:spacing w:after="0"/>
              <w:rPr>
                <w:sz w:val="20"/>
                <w:szCs w:val="20"/>
                <w:color w:val="auto"/>
              </w:rPr>
            </w:pPr>
            <w:r>
              <w:rPr>
                <w:rFonts w:ascii="Arial" w:cs="Arial" w:eastAsia="Arial" w:hAnsi="Arial"/>
                <w:sz w:val="14"/>
                <w:szCs w:val="14"/>
                <w:b w:val="1"/>
                <w:bCs w:val="1"/>
                <w:color w:val="auto"/>
              </w:rPr>
              <w:t>Andrew W. Houston</w:t>
            </w:r>
          </w:p>
        </w:tc>
        <w:tc>
          <w:tcPr>
            <w:tcW w:w="200" w:type="dxa"/>
            <w:vAlign w:val="bottom"/>
            <w:shd w:val="clear" w:color="auto" w:fill="F2F2F2"/>
          </w:tcPr>
          <w:p>
            <w:pPr>
              <w:spacing w:after="0"/>
              <w:rPr>
                <w:sz w:val="24"/>
                <w:szCs w:val="24"/>
                <w:color w:val="auto"/>
              </w:rPr>
            </w:pP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w w:val="96"/>
              </w:rPr>
              <w:t xml:space="preserve">2022 </w:t>
            </w:r>
            <w:r>
              <w:rPr>
                <w:rFonts w:ascii="Arial" w:cs="Arial" w:eastAsia="Arial" w:hAnsi="Arial"/>
                <w:sz w:val="3"/>
                <w:szCs w:val="3"/>
                <w:color w:val="auto"/>
                <w:w w:val="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625,000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340"/>
              <w:spacing w:after="0"/>
              <w:rPr>
                <w:sz w:val="20"/>
                <w:szCs w:val="20"/>
                <w:color w:val="auto"/>
              </w:rPr>
            </w:pPr>
            <w:r>
              <w:rPr>
                <w:rFonts w:ascii="Arial" w:cs="Arial" w:eastAsia="Arial" w:hAnsi="Arial"/>
                <w:sz w:val="14"/>
                <w:szCs w:val="14"/>
                <w:color w:val="auto"/>
              </w:rPr>
              <w:t>21,000</w:t>
            </w:r>
            <w:r>
              <w:rPr>
                <w:rFonts w:ascii="Arial" w:cs="Arial" w:eastAsia="Arial" w:hAnsi="Arial"/>
                <w:sz w:val="23"/>
                <w:szCs w:val="23"/>
                <w:color w:val="auto"/>
                <w:vertAlign w:val="superscript"/>
              </w:rPr>
              <w:t>(4)</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1,146,000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5"/>
        </w:trPr>
        <w:tc>
          <w:tcPr>
            <w:tcW w:w="40" w:type="dxa"/>
            <w:vAlign w:val="bottom"/>
            <w:shd w:val="clear" w:color="auto" w:fill="F2F2F2"/>
          </w:tcPr>
          <w:p>
            <w:pPr>
              <w:spacing w:after="0"/>
              <w:rPr>
                <w:sz w:val="7"/>
                <w:szCs w:val="7"/>
                <w:color w:val="auto"/>
              </w:rPr>
            </w:pPr>
          </w:p>
        </w:tc>
        <w:tc>
          <w:tcPr>
            <w:tcW w:w="1960" w:type="dxa"/>
            <w:vAlign w:val="bottom"/>
            <w:vMerge w:val="continue"/>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6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960" w:type="dxa"/>
            <w:vAlign w:val="bottom"/>
            <w:shd w:val="clear" w:color="auto" w:fill="F2F2F2"/>
          </w:tcPr>
          <w:p>
            <w:pPr>
              <w:ind w:left="40"/>
              <w:spacing w:after="0"/>
              <w:rPr>
                <w:sz w:val="20"/>
                <w:szCs w:val="20"/>
                <w:color w:val="auto"/>
              </w:rPr>
            </w:pPr>
            <w:r>
              <w:rPr>
                <w:rFonts w:ascii="Arial" w:cs="Arial" w:eastAsia="Arial" w:hAnsi="Arial"/>
                <w:sz w:val="14"/>
                <w:szCs w:val="14"/>
                <w:i w:val="1"/>
                <w:iCs w:val="1"/>
                <w:color w:val="auto"/>
              </w:rPr>
              <w:t>Chief Executive Officer</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jc w:val="right"/>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606,250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883,679</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340"/>
              <w:spacing w:after="0" w:line="172" w:lineRule="exact"/>
              <w:rPr>
                <w:sz w:val="20"/>
                <w:szCs w:val="20"/>
                <w:color w:val="auto"/>
              </w:rPr>
            </w:pPr>
            <w:r>
              <w:rPr>
                <w:rFonts w:ascii="Arial" w:cs="Arial" w:eastAsia="Arial" w:hAnsi="Arial"/>
                <w:sz w:val="12"/>
                <w:szCs w:val="12"/>
                <w:color w:val="auto"/>
              </w:rPr>
              <w:t>25,340</w:t>
            </w:r>
            <w:r>
              <w:rPr>
                <w:rFonts w:ascii="Arial" w:cs="Arial" w:eastAsia="Arial" w:hAnsi="Arial"/>
                <w:sz w:val="19"/>
                <w:szCs w:val="19"/>
                <w:color w:val="auto"/>
                <w:vertAlign w:val="superscript"/>
              </w:rPr>
              <w:t>(4)</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1,515,269</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86"/>
        </w:trPr>
        <w:tc>
          <w:tcPr>
            <w:tcW w:w="40" w:type="dxa"/>
            <w:vAlign w:val="bottom"/>
            <w:shd w:val="clear" w:color="auto" w:fill="F2F2F2"/>
          </w:tcPr>
          <w:p>
            <w:pPr>
              <w:spacing w:after="0"/>
              <w:rPr>
                <w:sz w:val="16"/>
                <w:szCs w:val="16"/>
                <w:color w:val="auto"/>
              </w:rPr>
            </w:pPr>
          </w:p>
        </w:tc>
        <w:tc>
          <w:tcPr>
            <w:tcW w:w="1960" w:type="dxa"/>
            <w:vAlign w:val="bottom"/>
            <w:shd w:val="clear" w:color="auto" w:fill="F2F2F2"/>
          </w:tcPr>
          <w:p>
            <w:pPr>
              <w:ind w:left="40"/>
              <w:spacing w:after="0"/>
              <w:rPr>
                <w:sz w:val="20"/>
                <w:szCs w:val="20"/>
                <w:color w:val="auto"/>
              </w:rPr>
            </w:pPr>
            <w:r>
              <w:rPr>
                <w:rFonts w:ascii="Arial" w:cs="Arial" w:eastAsia="Arial" w:hAnsi="Arial"/>
                <w:sz w:val="14"/>
                <w:szCs w:val="14"/>
                <w:i w:val="1"/>
                <w:iCs w:val="1"/>
                <w:color w:val="auto"/>
              </w:rPr>
              <w:t>and Co-Founder</w:t>
            </w:r>
          </w:p>
        </w:tc>
        <w:tc>
          <w:tcPr>
            <w:tcW w:w="200" w:type="dxa"/>
            <w:vAlign w:val="bottom"/>
            <w:shd w:val="clear" w:color="auto" w:fill="F2F2F2"/>
          </w:tcPr>
          <w:p>
            <w:pPr>
              <w:spacing w:after="0"/>
              <w:rPr>
                <w:sz w:val="16"/>
                <w:szCs w:val="16"/>
                <w:color w:val="auto"/>
              </w:rPr>
            </w:pPr>
          </w:p>
        </w:tc>
        <w:tc>
          <w:tcPr>
            <w:tcW w:w="180" w:type="dxa"/>
            <w:vAlign w:val="bottom"/>
            <w:vMerge w:val="restart"/>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w w:val="96"/>
              </w:rPr>
              <w:t>2020</w:t>
            </w:r>
          </w:p>
        </w:tc>
        <w:tc>
          <w:tcPr>
            <w:tcW w:w="100" w:type="dxa"/>
            <w:vAlign w:val="bottom"/>
            <w:vMerge w:val="restart"/>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vMerge w:val="restart"/>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vMerge w:val="restart"/>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587,500 </w:t>
            </w:r>
            <w:r>
              <w:rPr>
                <w:rFonts w:ascii="Arial" w:cs="Arial" w:eastAsia="Arial" w:hAnsi="Arial"/>
                <w:sz w:val="3"/>
                <w:szCs w:val="3"/>
                <w:color w:val="auto"/>
              </w:rPr>
              <w:t>​</w:t>
            </w:r>
          </w:p>
        </w:tc>
        <w:tc>
          <w:tcPr>
            <w:tcW w:w="180" w:type="dxa"/>
            <w:vAlign w:val="bottom"/>
            <w:vMerge w:val="restart"/>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vMerge w:val="restart"/>
            <w:shd w:val="clear" w:color="auto" w:fill="F2F2F2"/>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vMerge w:val="restart"/>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vMerge w:val="restart"/>
            <w:shd w:val="clear" w:color="auto" w:fill="F2F2F2"/>
          </w:tcPr>
          <w:p>
            <w:pPr>
              <w:ind w:left="80"/>
              <w:spacing w:after="0"/>
              <w:rPr>
                <w:sz w:val="20"/>
                <w:szCs w:val="20"/>
                <w:color w:val="auto"/>
              </w:rPr>
            </w:pPr>
            <w:r>
              <w:rPr>
                <w:rFonts w:ascii="Arial" w:cs="Arial" w:eastAsia="Arial" w:hAnsi="Arial"/>
                <w:sz w:val="4"/>
                <w:szCs w:val="4"/>
                <w:color w:val="auto"/>
              </w:rPr>
              <w:t>​</w:t>
            </w:r>
          </w:p>
        </w:tc>
        <w:tc>
          <w:tcPr>
            <w:tcW w:w="10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vMerge w:val="restart"/>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675,389</w:t>
            </w:r>
          </w:p>
        </w:tc>
        <w:tc>
          <w:tcPr>
            <w:tcW w:w="120" w:type="dxa"/>
            <w:vAlign w:val="bottom"/>
            <w:vMerge w:val="restart"/>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vMerge w:val="restart"/>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vMerge w:val="restart"/>
            <w:shd w:val="clear" w:color="auto" w:fill="F2F2F2"/>
          </w:tcPr>
          <w:p>
            <w:pPr>
              <w:ind w:left="400"/>
              <w:spacing w:after="0"/>
              <w:rPr>
                <w:sz w:val="20"/>
                <w:szCs w:val="20"/>
                <w:color w:val="auto"/>
              </w:rPr>
            </w:pPr>
            <w:r>
              <w:rPr>
                <w:rFonts w:ascii="Arial" w:cs="Arial" w:eastAsia="Arial" w:hAnsi="Arial"/>
                <w:sz w:val="14"/>
                <w:szCs w:val="14"/>
                <w:color w:val="auto"/>
              </w:rPr>
              <w:t>6,000</w:t>
            </w:r>
          </w:p>
        </w:tc>
        <w:tc>
          <w:tcPr>
            <w:tcW w:w="160" w:type="dxa"/>
            <w:vAlign w:val="bottom"/>
            <w:vMerge w:val="restart"/>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vMerge w:val="restart"/>
            <w:shd w:val="clear" w:color="auto" w:fill="F2F2F2"/>
          </w:tcPr>
          <w:p>
            <w:pPr>
              <w:ind w:left="100"/>
              <w:spacing w:after="0"/>
              <w:rPr>
                <w:sz w:val="20"/>
                <w:szCs w:val="20"/>
                <w:color w:val="auto"/>
              </w:rPr>
            </w:pPr>
            <w:r>
              <w:rPr>
                <w:rFonts w:ascii="Arial" w:cs="Arial" w:eastAsia="Arial" w:hAnsi="Arial"/>
                <w:sz w:val="4"/>
                <w:szCs w:val="4"/>
                <w:color w:val="auto"/>
              </w:rPr>
              <w:t>​</w:t>
            </w:r>
          </w:p>
        </w:tc>
        <w:tc>
          <w:tcPr>
            <w:tcW w:w="800" w:type="dxa"/>
            <w:vAlign w:val="bottom"/>
            <w:vMerge w:val="restart"/>
            <w:shd w:val="clear" w:color="auto" w:fill="F2F2F2"/>
          </w:tcPr>
          <w:p>
            <w:pPr>
              <w:jc w:val="center"/>
              <w:ind w:left="48"/>
              <w:spacing w:after="0"/>
              <w:rPr>
                <w:sz w:val="20"/>
                <w:szCs w:val="20"/>
                <w:color w:val="auto"/>
              </w:rPr>
            </w:pPr>
            <w:r>
              <w:rPr>
                <w:rFonts w:ascii="Arial" w:cs="Arial" w:eastAsia="Arial" w:hAnsi="Arial"/>
                <w:sz w:val="14"/>
                <w:szCs w:val="14"/>
                <w:color w:val="auto"/>
              </w:rPr>
              <w:t>1,268,889</w:t>
            </w:r>
          </w:p>
        </w:tc>
        <w:tc>
          <w:tcPr>
            <w:tcW w:w="120" w:type="dxa"/>
            <w:vAlign w:val="bottom"/>
            <w:vMerge w:val="restart"/>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7"/>
        </w:trPr>
        <w:tc>
          <w:tcPr>
            <w:tcW w:w="40" w:type="dxa"/>
            <w:vAlign w:val="bottom"/>
            <w:shd w:val="clear" w:color="auto" w:fill="F2F2F2"/>
          </w:tcPr>
          <w:p>
            <w:pPr>
              <w:spacing w:after="0"/>
              <w:rPr>
                <w:sz w:val="17"/>
                <w:szCs w:val="17"/>
                <w:color w:val="auto"/>
              </w:rPr>
            </w:pPr>
          </w:p>
        </w:tc>
        <w:tc>
          <w:tcPr>
            <w:tcW w:w="19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340" w:type="dxa"/>
            <w:vAlign w:val="bottom"/>
            <w:vMerge w:val="continue"/>
            <w:shd w:val="clear" w:color="auto" w:fill="F2F2F2"/>
          </w:tcPr>
          <w:p>
            <w:pPr>
              <w:spacing w:after="0"/>
              <w:rPr>
                <w:sz w:val="17"/>
                <w:szCs w:val="17"/>
                <w:color w:val="auto"/>
              </w:rPr>
            </w:pPr>
          </w:p>
        </w:tc>
        <w:tc>
          <w:tcPr>
            <w:tcW w:w="100" w:type="dxa"/>
            <w:vAlign w:val="bottom"/>
            <w:vMerge w:val="continue"/>
            <w:shd w:val="clear" w:color="auto" w:fill="F2F2F2"/>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700" w:type="dxa"/>
            <w:vAlign w:val="bottom"/>
            <w:gridSpan w:val="2"/>
            <w:vMerge w:val="continue"/>
            <w:shd w:val="clear" w:color="auto" w:fill="F2F2F2"/>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440" w:type="dxa"/>
            <w:vAlign w:val="bottom"/>
            <w:vMerge w:val="continue"/>
            <w:shd w:val="clear" w:color="auto" w:fill="F2F2F2"/>
          </w:tcPr>
          <w:p>
            <w:pPr>
              <w:spacing w:after="0"/>
              <w:rPr>
                <w:sz w:val="17"/>
                <w:szCs w:val="17"/>
                <w:color w:val="auto"/>
              </w:rPr>
            </w:pPr>
          </w:p>
        </w:tc>
        <w:tc>
          <w:tcPr>
            <w:tcW w:w="160" w:type="dxa"/>
            <w:vAlign w:val="bottom"/>
            <w:vMerge w:val="continue"/>
            <w:shd w:val="clear" w:color="auto" w:fill="F2F2F2"/>
          </w:tcPr>
          <w:p>
            <w:pPr>
              <w:spacing w:after="0"/>
              <w:rPr>
                <w:sz w:val="17"/>
                <w:szCs w:val="17"/>
                <w:color w:val="auto"/>
              </w:rPr>
            </w:pPr>
          </w:p>
        </w:tc>
        <w:tc>
          <w:tcPr>
            <w:tcW w:w="240" w:type="dxa"/>
            <w:vAlign w:val="bottom"/>
            <w:vMerge w:val="continue"/>
            <w:shd w:val="clear" w:color="auto" w:fill="F2F2F2"/>
          </w:tcPr>
          <w:p>
            <w:pPr>
              <w:spacing w:after="0"/>
              <w:rPr>
                <w:sz w:val="17"/>
                <w:szCs w:val="17"/>
                <w:color w:val="auto"/>
              </w:rPr>
            </w:pPr>
          </w:p>
        </w:tc>
        <w:tc>
          <w:tcPr>
            <w:tcW w:w="1040" w:type="dxa"/>
            <w:vAlign w:val="bottom"/>
            <w:vMerge w:val="continue"/>
            <w:shd w:val="clear" w:color="auto" w:fill="F2F2F2"/>
          </w:tcPr>
          <w:p>
            <w:pPr>
              <w:spacing w:after="0"/>
              <w:rPr>
                <w:sz w:val="17"/>
                <w:szCs w:val="17"/>
                <w:color w:val="auto"/>
              </w:rPr>
            </w:pPr>
          </w:p>
        </w:tc>
        <w:tc>
          <w:tcPr>
            <w:tcW w:w="100" w:type="dxa"/>
            <w:vAlign w:val="bottom"/>
            <w:vMerge w:val="continue"/>
            <w:shd w:val="clear" w:color="auto" w:fill="F2F2F2"/>
          </w:tcPr>
          <w:p>
            <w:pPr>
              <w:spacing w:after="0"/>
              <w:rPr>
                <w:sz w:val="17"/>
                <w:szCs w:val="17"/>
                <w:color w:val="auto"/>
              </w:rPr>
            </w:pPr>
          </w:p>
        </w:tc>
        <w:tc>
          <w:tcPr>
            <w:tcW w:w="180" w:type="dxa"/>
            <w:vAlign w:val="bottom"/>
            <w:vMerge w:val="continue"/>
            <w:shd w:val="clear" w:color="auto" w:fill="F2F2F2"/>
          </w:tcPr>
          <w:p>
            <w:pPr>
              <w:spacing w:after="0"/>
              <w:rPr>
                <w:sz w:val="17"/>
                <w:szCs w:val="17"/>
                <w:color w:val="auto"/>
              </w:rPr>
            </w:pPr>
          </w:p>
        </w:tc>
        <w:tc>
          <w:tcPr>
            <w:tcW w:w="1020" w:type="dxa"/>
            <w:vAlign w:val="bottom"/>
            <w:vMerge w:val="continue"/>
            <w:shd w:val="clear" w:color="auto" w:fill="F2F2F2"/>
          </w:tcPr>
          <w:p>
            <w:pPr>
              <w:spacing w:after="0"/>
              <w:rPr>
                <w:sz w:val="17"/>
                <w:szCs w:val="17"/>
                <w:color w:val="auto"/>
              </w:rPr>
            </w:pPr>
          </w:p>
        </w:tc>
        <w:tc>
          <w:tcPr>
            <w:tcW w:w="120" w:type="dxa"/>
            <w:vAlign w:val="bottom"/>
            <w:vMerge w:val="continue"/>
            <w:shd w:val="clear" w:color="auto" w:fill="F2F2F2"/>
          </w:tcPr>
          <w:p>
            <w:pPr>
              <w:spacing w:after="0"/>
              <w:rPr>
                <w:sz w:val="17"/>
                <w:szCs w:val="17"/>
                <w:color w:val="auto"/>
              </w:rPr>
            </w:pPr>
          </w:p>
        </w:tc>
        <w:tc>
          <w:tcPr>
            <w:tcW w:w="160" w:type="dxa"/>
            <w:vAlign w:val="bottom"/>
            <w:vMerge w:val="continue"/>
            <w:shd w:val="clear" w:color="auto" w:fill="F2F2F2"/>
          </w:tcPr>
          <w:p>
            <w:pPr>
              <w:spacing w:after="0"/>
              <w:rPr>
                <w:sz w:val="17"/>
                <w:szCs w:val="17"/>
                <w:color w:val="auto"/>
              </w:rPr>
            </w:pPr>
          </w:p>
        </w:tc>
        <w:tc>
          <w:tcPr>
            <w:tcW w:w="980" w:type="dxa"/>
            <w:vAlign w:val="bottom"/>
            <w:vMerge w:val="continue"/>
            <w:shd w:val="clear" w:color="auto" w:fill="F2F2F2"/>
          </w:tcPr>
          <w:p>
            <w:pPr>
              <w:spacing w:after="0"/>
              <w:rPr>
                <w:sz w:val="17"/>
                <w:szCs w:val="17"/>
                <w:color w:val="auto"/>
              </w:rPr>
            </w:pPr>
          </w:p>
        </w:tc>
        <w:tc>
          <w:tcPr>
            <w:tcW w:w="160" w:type="dxa"/>
            <w:vAlign w:val="bottom"/>
            <w:vMerge w:val="continue"/>
            <w:shd w:val="clear" w:color="auto" w:fill="F2F2F2"/>
          </w:tcPr>
          <w:p>
            <w:pPr>
              <w:spacing w:after="0"/>
              <w:rPr>
                <w:sz w:val="17"/>
                <w:szCs w:val="17"/>
                <w:color w:val="auto"/>
              </w:rPr>
            </w:pPr>
          </w:p>
        </w:tc>
        <w:tc>
          <w:tcPr>
            <w:tcW w:w="160" w:type="dxa"/>
            <w:vAlign w:val="bottom"/>
            <w:vMerge w:val="continue"/>
            <w:shd w:val="clear" w:color="auto" w:fill="F2F2F2"/>
          </w:tcPr>
          <w:p>
            <w:pPr>
              <w:spacing w:after="0"/>
              <w:rPr>
                <w:sz w:val="17"/>
                <w:szCs w:val="17"/>
                <w:color w:val="auto"/>
              </w:rPr>
            </w:pPr>
          </w:p>
        </w:tc>
        <w:tc>
          <w:tcPr>
            <w:tcW w:w="800" w:type="dxa"/>
            <w:vAlign w:val="bottom"/>
            <w:vMerge w:val="continue"/>
            <w:shd w:val="clear" w:color="auto" w:fill="F2F2F2"/>
          </w:tcPr>
          <w:p>
            <w:pPr>
              <w:spacing w:after="0"/>
              <w:rPr>
                <w:sz w:val="17"/>
                <w:szCs w:val="17"/>
                <w:color w:val="auto"/>
              </w:rPr>
            </w:pPr>
          </w:p>
        </w:tc>
        <w:tc>
          <w:tcPr>
            <w:tcW w:w="12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F2F2F2"/>
          </w:tcPr>
          <w:p>
            <w:pPr>
              <w:spacing w:after="0"/>
              <w:rPr>
                <w:sz w:val="6"/>
                <w:szCs w:val="6"/>
                <w:color w:val="auto"/>
              </w:rPr>
            </w:pPr>
          </w:p>
        </w:tc>
        <w:tc>
          <w:tcPr>
            <w:tcW w:w="1960" w:type="dxa"/>
            <w:vAlign w:val="bottom"/>
            <w:shd w:val="clear" w:color="auto" w:fill="F2F2F2"/>
          </w:tcPr>
          <w:p>
            <w:pPr>
              <w:spacing w:after="0"/>
              <w:rPr>
                <w:sz w:val="6"/>
                <w:szCs w:val="6"/>
                <w:color w:val="auto"/>
              </w:rPr>
            </w:pPr>
          </w:p>
        </w:tc>
        <w:tc>
          <w:tcPr>
            <w:tcW w:w="200" w:type="dxa"/>
            <w:vAlign w:val="bottom"/>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00" w:type="dxa"/>
            <w:vAlign w:val="bottom"/>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700" w:type="dxa"/>
            <w:vAlign w:val="bottom"/>
            <w:gridSpan w:val="2"/>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44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240" w:type="dxa"/>
            <w:vAlign w:val="bottom"/>
            <w:shd w:val="clear" w:color="auto" w:fill="F2F2F2"/>
          </w:tcPr>
          <w:p>
            <w:pPr>
              <w:spacing w:after="0"/>
              <w:rPr>
                <w:sz w:val="6"/>
                <w:szCs w:val="6"/>
                <w:color w:val="auto"/>
              </w:rPr>
            </w:pPr>
          </w:p>
        </w:tc>
        <w:tc>
          <w:tcPr>
            <w:tcW w:w="1140" w:type="dxa"/>
            <w:vAlign w:val="bottom"/>
            <w:gridSpan w:val="2"/>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1020" w:type="dxa"/>
            <w:vAlign w:val="bottom"/>
            <w:shd w:val="clear" w:color="auto" w:fill="F2F2F2"/>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98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800" w:type="dxa"/>
            <w:vAlign w:val="bottom"/>
            <w:shd w:val="clear" w:color="auto" w:fill="F2F2F2"/>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tcPr>
          <w:p>
            <w:pPr>
              <w:jc w:val="right"/>
              <w:ind w:right="71"/>
              <w:spacing w:after="0"/>
              <w:rPr>
                <w:sz w:val="20"/>
                <w:szCs w:val="20"/>
                <w:color w:val="auto"/>
              </w:rPr>
            </w:pPr>
            <w:r>
              <w:rPr>
                <w:rFonts w:ascii="Arial" w:cs="Arial" w:eastAsia="Arial" w:hAnsi="Arial"/>
                <w:sz w:val="14"/>
                <w:szCs w:val="14"/>
                <w:color w:val="auto"/>
                <w:w w:val="96"/>
              </w:rPr>
              <w:t xml:space="preserve">2022 </w:t>
            </w:r>
            <w:r>
              <w:rPr>
                <w:rFonts w:ascii="Arial" w:cs="Arial" w:eastAsia="Arial" w:hAnsi="Arial"/>
                <w:sz w:val="3"/>
                <w:szCs w:val="3"/>
                <w:color w:val="auto"/>
                <w:w w:val="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518,333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tcPr>
          <w:p>
            <w:pPr>
              <w:spacing w:after="0"/>
              <w:rPr>
                <w:sz w:val="24"/>
                <w:szCs w:val="24"/>
                <w:color w:val="auto"/>
              </w:rPr>
            </w:pP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140" w:type="dxa"/>
            <w:vAlign w:val="bottom"/>
            <w:gridSpan w:val="2"/>
          </w:tcPr>
          <w:p>
            <w:pPr>
              <w:jc w:val="right"/>
              <w:ind w:right="71"/>
              <w:spacing w:after="0"/>
              <w:rPr>
                <w:sz w:val="20"/>
                <w:szCs w:val="20"/>
                <w:color w:val="auto"/>
              </w:rPr>
            </w:pPr>
            <w:r>
              <w:rPr>
                <w:rFonts w:ascii="Arial" w:cs="Arial" w:eastAsia="Arial" w:hAnsi="Arial"/>
                <w:sz w:val="14"/>
                <w:szCs w:val="14"/>
                <w:color w:val="auto"/>
              </w:rPr>
              <w:t>4,692,710</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270,000</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tcPr>
          <w:p>
            <w:pPr>
              <w:ind w:left="400"/>
              <w:spacing w:after="0"/>
              <w:rPr>
                <w:sz w:val="20"/>
                <w:szCs w:val="20"/>
                <w:color w:val="auto"/>
              </w:rPr>
            </w:pPr>
            <w:r>
              <w:rPr>
                <w:rFonts w:ascii="Arial" w:cs="Arial" w:eastAsia="Arial" w:hAnsi="Arial"/>
                <w:sz w:val="14"/>
                <w:szCs w:val="14"/>
                <w:color w:val="auto"/>
              </w:rPr>
              <w:t>6,000</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5,487,043</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Timothy Regan</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6"/>
              </w:rPr>
              <w:t>2021</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470,833</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4,671,019</w:t>
            </w:r>
            <w:r>
              <w:rPr>
                <w:rFonts w:ascii="Arial" w:cs="Arial" w:eastAsia="Arial" w:hAnsi="Arial"/>
                <w:sz w:val="23"/>
                <w:szCs w:val="23"/>
                <w:color w:val="auto"/>
                <w:vertAlign w:val="superscript"/>
              </w:rPr>
              <w:t>(1)</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515,012</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vMerge w:val="restart"/>
          </w:tcPr>
          <w:p>
            <w:pPr>
              <w:ind w:left="400"/>
              <w:spacing w:after="0"/>
              <w:rPr>
                <w:sz w:val="20"/>
                <w:szCs w:val="20"/>
                <w:color w:val="auto"/>
              </w:rPr>
            </w:pPr>
            <w:r>
              <w:rPr>
                <w:rFonts w:ascii="Arial" w:cs="Arial" w:eastAsia="Arial" w:hAnsi="Arial"/>
                <w:sz w:val="14"/>
                <w:szCs w:val="14"/>
                <w:color w:val="auto"/>
              </w:rPr>
              <w:t>6,000</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5,662,864</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tcPr>
          <w:p>
            <w:pPr>
              <w:jc w:val="right"/>
              <w:ind w:right="71"/>
              <w:spacing w:after="0"/>
              <w:rPr>
                <w:sz w:val="20"/>
                <w:szCs w:val="20"/>
                <w:color w:val="auto"/>
              </w:rPr>
            </w:pPr>
            <w:r>
              <w:rPr>
                <w:rFonts w:ascii="Arial" w:cs="Arial" w:eastAsia="Arial" w:hAnsi="Arial"/>
                <w:sz w:val="14"/>
                <w:szCs w:val="14"/>
                <w:color w:val="auto"/>
                <w:w w:val="96"/>
              </w:rPr>
              <w:t xml:space="preserve">2020 </w:t>
            </w:r>
            <w:r>
              <w:rPr>
                <w:rFonts w:ascii="Arial" w:cs="Arial" w:eastAsia="Arial" w:hAnsi="Arial"/>
                <w:sz w:val="3"/>
                <w:szCs w:val="3"/>
                <w:color w:val="auto"/>
                <w:w w:val="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393,415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4,895,566</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373,595</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tcPr>
          <w:p>
            <w:pPr>
              <w:ind w:left="400"/>
              <w:spacing w:after="0"/>
              <w:rPr>
                <w:sz w:val="20"/>
                <w:szCs w:val="20"/>
                <w:color w:val="auto"/>
              </w:rPr>
            </w:pPr>
            <w:r>
              <w:rPr>
                <w:rFonts w:ascii="Arial" w:cs="Arial" w:eastAsia="Arial" w:hAnsi="Arial"/>
                <w:sz w:val="14"/>
                <w:szCs w:val="14"/>
                <w:color w:val="auto"/>
              </w:rPr>
              <w:t>6,000</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5,668,576</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40" w:type="dxa"/>
            <w:vAlign w:val="bottom"/>
            <w:shd w:val="clear" w:color="auto" w:fill="F2F2F2"/>
          </w:tcPr>
          <w:p>
            <w:pPr>
              <w:spacing w:after="0"/>
              <w:rPr>
                <w:sz w:val="24"/>
                <w:szCs w:val="24"/>
                <w:color w:val="auto"/>
              </w:rPr>
            </w:pPr>
          </w:p>
        </w:tc>
        <w:tc>
          <w:tcPr>
            <w:tcW w:w="19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w w:val="96"/>
              </w:rPr>
              <w:t xml:space="preserve">2022 </w:t>
            </w:r>
            <w:r>
              <w:rPr>
                <w:rFonts w:ascii="Arial" w:cs="Arial" w:eastAsia="Arial" w:hAnsi="Arial"/>
                <w:sz w:val="3"/>
                <w:szCs w:val="3"/>
                <w:color w:val="auto"/>
                <w:w w:val="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600,000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468,600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340"/>
              <w:spacing w:after="0"/>
              <w:rPr>
                <w:sz w:val="20"/>
                <w:szCs w:val="20"/>
                <w:color w:val="auto"/>
              </w:rPr>
            </w:pPr>
            <w:r>
              <w:rPr>
                <w:rFonts w:ascii="Arial" w:cs="Arial" w:eastAsia="Arial" w:hAnsi="Arial"/>
                <w:sz w:val="14"/>
                <w:szCs w:val="14"/>
                <w:color w:val="auto"/>
              </w:rPr>
              <w:t>10,000</w:t>
            </w:r>
            <w:r>
              <w:rPr>
                <w:rFonts w:ascii="Arial" w:cs="Arial" w:eastAsia="Arial" w:hAnsi="Arial"/>
                <w:sz w:val="23"/>
                <w:szCs w:val="23"/>
                <w:color w:val="auto"/>
                <w:vertAlign w:val="superscript"/>
              </w:rPr>
              <w:t>(4)</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1,078,600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57"/>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96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Timothy Young</w:t>
            </w:r>
          </w:p>
        </w:tc>
        <w:tc>
          <w:tcPr>
            <w:tcW w:w="2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jc w:val="right"/>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600,000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874,200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340"/>
              <w:spacing w:after="0" w:line="256" w:lineRule="exact"/>
              <w:rPr>
                <w:sz w:val="20"/>
                <w:szCs w:val="20"/>
                <w:color w:val="auto"/>
              </w:rPr>
            </w:pPr>
            <w:r>
              <w:rPr>
                <w:rFonts w:ascii="Arial" w:cs="Arial" w:eastAsia="Arial" w:hAnsi="Arial"/>
                <w:sz w:val="14"/>
                <w:szCs w:val="14"/>
                <w:color w:val="auto"/>
              </w:rPr>
              <w:t>23,500</w:t>
            </w:r>
            <w:r>
              <w:rPr>
                <w:rFonts w:ascii="Arial" w:cs="Arial" w:eastAsia="Arial" w:hAnsi="Arial"/>
                <w:sz w:val="23"/>
                <w:szCs w:val="23"/>
                <w:color w:val="auto"/>
                <w:vertAlign w:val="superscript"/>
              </w:rPr>
              <w:t>(4)</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1,497,700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21"/>
        </w:trPr>
        <w:tc>
          <w:tcPr>
            <w:tcW w:w="40" w:type="dxa"/>
            <w:vAlign w:val="bottom"/>
            <w:shd w:val="clear" w:color="auto" w:fill="F2F2F2"/>
          </w:tcPr>
          <w:p>
            <w:pPr>
              <w:spacing w:after="0"/>
              <w:rPr>
                <w:sz w:val="10"/>
                <w:szCs w:val="10"/>
                <w:color w:val="auto"/>
              </w:rPr>
            </w:pPr>
          </w:p>
        </w:tc>
        <w:tc>
          <w:tcPr>
            <w:tcW w:w="1960" w:type="dxa"/>
            <w:vAlign w:val="bottom"/>
            <w:shd w:val="clear" w:color="auto" w:fill="F2F2F2"/>
          </w:tcPr>
          <w:p>
            <w:pPr>
              <w:ind w:left="40"/>
              <w:spacing w:after="0" w:line="122" w:lineRule="exact"/>
              <w:rPr>
                <w:sz w:val="20"/>
                <w:szCs w:val="20"/>
                <w:color w:val="auto"/>
              </w:rPr>
            </w:pPr>
            <w:r>
              <w:rPr>
                <w:rFonts w:ascii="Arial" w:cs="Arial" w:eastAsia="Arial" w:hAnsi="Arial"/>
                <w:sz w:val="14"/>
                <w:szCs w:val="14"/>
                <w:i w:val="1"/>
                <w:iCs w:val="1"/>
                <w:color w:val="auto"/>
              </w:rPr>
              <w:t>President</w:t>
            </w:r>
          </w:p>
        </w:tc>
        <w:tc>
          <w:tcPr>
            <w:tcW w:w="2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60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24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102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98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40" w:type="dxa"/>
            <w:vAlign w:val="bottom"/>
            <w:shd w:val="clear" w:color="auto" w:fill="F2F2F2"/>
          </w:tcPr>
          <w:p>
            <w:pPr>
              <w:spacing w:after="0"/>
              <w:rPr>
                <w:sz w:val="24"/>
                <w:szCs w:val="24"/>
                <w:color w:val="auto"/>
              </w:rPr>
            </w:pPr>
          </w:p>
        </w:tc>
        <w:tc>
          <w:tcPr>
            <w:tcW w:w="19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jc w:val="right"/>
              <w:spacing w:after="0"/>
              <w:rPr>
                <w:sz w:val="20"/>
                <w:szCs w:val="20"/>
                <w:color w:val="auto"/>
              </w:rPr>
            </w:pPr>
            <w:r>
              <w:rPr>
                <w:rFonts w:ascii="Arial" w:cs="Arial" w:eastAsia="Arial" w:hAnsi="Arial"/>
                <w:sz w:val="14"/>
                <w:szCs w:val="14"/>
                <w:color w:val="auto"/>
                <w:w w:val="96"/>
              </w:rPr>
              <w:t>2020</w:t>
            </w:r>
          </w:p>
        </w:tc>
        <w:tc>
          <w:tcPr>
            <w:tcW w:w="100" w:type="dxa"/>
            <w:vAlign w:val="bottom"/>
            <w:shd w:val="clear" w:color="auto" w:fill="F2F2F2"/>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 xml:space="preserve">516,667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4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140" w:type="dxa"/>
            <w:vAlign w:val="bottom"/>
            <w:gridSpan w:val="2"/>
            <w:shd w:val="clear" w:color="auto" w:fill="F2F2F2"/>
          </w:tcPr>
          <w:p>
            <w:pPr>
              <w:jc w:val="right"/>
              <w:ind w:right="71"/>
              <w:spacing w:after="0"/>
              <w:rPr>
                <w:sz w:val="20"/>
                <w:szCs w:val="20"/>
                <w:color w:val="auto"/>
              </w:rPr>
            </w:pPr>
            <w:r>
              <w:rPr>
                <w:rFonts w:ascii="Arial" w:cs="Arial" w:eastAsia="Arial" w:hAnsi="Arial"/>
                <w:sz w:val="14"/>
                <w:szCs w:val="14"/>
                <w:color w:val="auto"/>
              </w:rPr>
              <w:t>19,143,883</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w:t>
            </w:r>
            <w:r>
              <w:rPr>
                <w:rFonts w:ascii="Arial" w:cs="Arial" w:eastAsia="Arial" w:hAnsi="Arial"/>
                <w:sz w:val="3"/>
                <w:szCs w:val="3"/>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890,778</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ind w:left="400"/>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920" w:type="dxa"/>
            <w:vAlign w:val="bottom"/>
            <w:gridSpan w:val="2"/>
            <w:shd w:val="clear" w:color="auto" w:fill="F2F2F2"/>
          </w:tcPr>
          <w:p>
            <w:pPr>
              <w:jc w:val="right"/>
              <w:ind w:right="62"/>
              <w:spacing w:after="0"/>
              <w:rPr>
                <w:sz w:val="20"/>
                <w:szCs w:val="20"/>
                <w:color w:val="auto"/>
              </w:rPr>
            </w:pPr>
            <w:r>
              <w:rPr>
                <w:rFonts w:ascii="Arial" w:cs="Arial" w:eastAsia="Arial" w:hAnsi="Arial"/>
                <w:sz w:val="14"/>
                <w:szCs w:val="14"/>
                <w:color w:val="auto"/>
              </w:rPr>
              <w:t xml:space="preserve">20,557,328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tcPr>
          <w:p>
            <w:pPr>
              <w:jc w:val="right"/>
              <w:ind w:right="71"/>
              <w:spacing w:after="0"/>
              <w:rPr>
                <w:sz w:val="20"/>
                <w:szCs w:val="20"/>
                <w:color w:val="auto"/>
              </w:rPr>
            </w:pPr>
            <w:r>
              <w:rPr>
                <w:rFonts w:ascii="Arial" w:cs="Arial" w:eastAsia="Arial" w:hAnsi="Arial"/>
                <w:sz w:val="14"/>
                <w:szCs w:val="14"/>
                <w:color w:val="auto"/>
                <w:w w:val="96"/>
              </w:rPr>
              <w:t xml:space="preserve">2022 </w:t>
            </w:r>
            <w:r>
              <w:rPr>
                <w:rFonts w:ascii="Arial" w:cs="Arial" w:eastAsia="Arial" w:hAnsi="Arial"/>
                <w:sz w:val="3"/>
                <w:szCs w:val="3"/>
                <w:color w:val="auto"/>
                <w:w w:val="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475,000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140" w:type="dxa"/>
            <w:vAlign w:val="bottom"/>
            <w:gridSpan w:val="2"/>
          </w:tcPr>
          <w:p>
            <w:pPr>
              <w:jc w:val="right"/>
              <w:ind w:right="71"/>
              <w:spacing w:after="0"/>
              <w:rPr>
                <w:sz w:val="20"/>
                <w:szCs w:val="20"/>
                <w:color w:val="auto"/>
              </w:rPr>
            </w:pPr>
            <w:r>
              <w:rPr>
                <w:rFonts w:ascii="Arial" w:cs="Arial" w:eastAsia="Arial" w:hAnsi="Arial"/>
                <w:sz w:val="14"/>
                <w:szCs w:val="14"/>
                <w:color w:val="auto"/>
              </w:rPr>
              <w:t>3,128,474</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245,000</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tcPr>
          <w:p>
            <w:pPr>
              <w:ind w:left="400"/>
              <w:spacing w:after="0"/>
              <w:rPr>
                <w:sz w:val="20"/>
                <w:szCs w:val="20"/>
                <w:color w:val="auto"/>
              </w:rPr>
            </w:pPr>
            <w:r>
              <w:rPr>
                <w:rFonts w:ascii="Arial" w:cs="Arial" w:eastAsia="Arial" w:hAnsi="Arial"/>
                <w:sz w:val="14"/>
                <w:szCs w:val="14"/>
                <w:color w:val="auto"/>
              </w:rPr>
              <w:t>6,000</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3,854,474</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Bart E. Volkmer</w:t>
            </w:r>
          </w:p>
        </w:tc>
        <w:tc>
          <w:tcPr>
            <w:tcW w:w="20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spacing w:after="0"/>
              <w:rPr>
                <w:sz w:val="14"/>
                <w:szCs w:val="14"/>
                <w:color w:val="auto"/>
              </w:rPr>
            </w:pPr>
          </w:p>
        </w:tc>
        <w:tc>
          <w:tcPr>
            <w:tcW w:w="440" w:type="dxa"/>
            <w:vAlign w:val="bottom"/>
            <w:gridSpan w:val="2"/>
            <w:vMerge w:val="restart"/>
          </w:tcPr>
          <w:p>
            <w:pPr>
              <w:jc w:val="right"/>
              <w:ind w:right="71"/>
              <w:spacing w:after="0"/>
              <w:rPr>
                <w:sz w:val="20"/>
                <w:szCs w:val="20"/>
                <w:color w:val="auto"/>
              </w:rPr>
            </w:pPr>
            <w:r>
              <w:rPr>
                <w:rFonts w:ascii="Arial" w:cs="Arial" w:eastAsia="Arial" w:hAnsi="Arial"/>
                <w:sz w:val="14"/>
                <w:szCs w:val="14"/>
                <w:color w:val="auto"/>
                <w:w w:val="96"/>
              </w:rPr>
              <w:t xml:space="preserve">2021 </w:t>
            </w:r>
            <w:r>
              <w:rPr>
                <w:rFonts w:ascii="Arial" w:cs="Arial" w:eastAsia="Arial" w:hAnsi="Arial"/>
                <w:sz w:val="3"/>
                <w:szCs w:val="3"/>
                <w:color w:val="auto"/>
                <w:w w:val="96"/>
              </w:rPr>
              <w:t>​</w:t>
            </w:r>
          </w:p>
        </w:tc>
        <w:tc>
          <w:tcPr>
            <w:tcW w:w="180" w:type="dxa"/>
            <w:vAlign w:val="bottom"/>
          </w:tcPr>
          <w:p>
            <w:pPr>
              <w:spacing w:after="0"/>
              <w:rPr>
                <w:sz w:val="14"/>
                <w:szCs w:val="14"/>
                <w:color w:val="auto"/>
              </w:rPr>
            </w:pPr>
          </w:p>
        </w:tc>
        <w:tc>
          <w:tcPr>
            <w:tcW w:w="700" w:type="dxa"/>
            <w:vAlign w:val="bottom"/>
            <w:gridSpan w:val="2"/>
            <w:vMerge w:val="restart"/>
          </w:tcPr>
          <w:p>
            <w:pPr>
              <w:jc w:val="right"/>
              <w:ind w:right="71"/>
              <w:spacing w:after="0"/>
              <w:rPr>
                <w:sz w:val="20"/>
                <w:szCs w:val="20"/>
                <w:color w:val="auto"/>
              </w:rPr>
            </w:pPr>
            <w:r>
              <w:rPr>
                <w:rFonts w:ascii="Arial" w:cs="Arial" w:eastAsia="Arial" w:hAnsi="Arial"/>
                <w:sz w:val="14"/>
                <w:szCs w:val="14"/>
                <w:color w:val="auto"/>
              </w:rPr>
              <w:t xml:space="preserve">475,000 </w:t>
            </w:r>
            <w:r>
              <w:rPr>
                <w:rFonts w:ascii="Arial" w:cs="Arial" w:eastAsia="Arial" w:hAnsi="Arial"/>
                <w:sz w:val="3"/>
                <w:szCs w:val="3"/>
                <w:color w:val="auto"/>
              </w:rPr>
              <w:t>​</w:t>
            </w:r>
          </w:p>
        </w:tc>
        <w:tc>
          <w:tcPr>
            <w:tcW w:w="180" w:type="dxa"/>
            <w:vAlign w:val="bottom"/>
          </w:tcPr>
          <w:p>
            <w:pPr>
              <w:spacing w:after="0"/>
              <w:rPr>
                <w:sz w:val="14"/>
                <w:szCs w:val="14"/>
                <w:color w:val="auto"/>
              </w:rPr>
            </w:pPr>
          </w:p>
        </w:tc>
        <w:tc>
          <w:tcPr>
            <w:tcW w:w="44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71"/>
              <w:spacing w:after="0"/>
              <w:rPr>
                <w:sz w:val="20"/>
                <w:szCs w:val="20"/>
                <w:color w:val="auto"/>
              </w:rPr>
            </w:pPr>
            <w:r>
              <w:rPr>
                <w:rFonts w:ascii="Arial" w:cs="Arial" w:eastAsia="Arial" w:hAnsi="Arial"/>
                <w:sz w:val="14"/>
                <w:szCs w:val="14"/>
                <w:color w:val="auto"/>
              </w:rPr>
              <w:t>3,113,995</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w:t>
            </w:r>
            <w:r>
              <w:rPr>
                <w:rFonts w:ascii="Arial" w:cs="Arial" w:eastAsia="Arial" w:hAnsi="Arial"/>
                <w:sz w:val="3"/>
                <w:szCs w:val="3"/>
                <w:color w:val="auto"/>
              </w:rPr>
              <w:t>​</w:t>
            </w:r>
          </w:p>
        </w:tc>
        <w:tc>
          <w:tcPr>
            <w:tcW w:w="1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517,326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color w:val="auto"/>
              </w:rPr>
              <w:t>6,000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62"/>
              <w:spacing w:after="0"/>
              <w:rPr>
                <w:sz w:val="20"/>
                <w:szCs w:val="20"/>
                <w:color w:val="auto"/>
              </w:rPr>
            </w:pPr>
            <w:r>
              <w:rPr>
                <w:rFonts w:ascii="Arial" w:cs="Arial" w:eastAsia="Arial" w:hAnsi="Arial"/>
                <w:sz w:val="14"/>
                <w:szCs w:val="14"/>
                <w:color w:val="auto"/>
              </w:rPr>
              <w:t xml:space="preserve">4,112,321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960" w:type="dxa"/>
            <w:vAlign w:val="bottom"/>
          </w:tcPr>
          <w:p>
            <w:pPr>
              <w:ind w:left="40"/>
              <w:spacing w:after="0"/>
              <w:rPr>
                <w:sz w:val="20"/>
                <w:szCs w:val="20"/>
                <w:color w:val="auto"/>
              </w:rPr>
            </w:pPr>
            <w:r>
              <w:rPr>
                <w:rFonts w:ascii="Arial" w:cs="Arial" w:eastAsia="Arial" w:hAnsi="Arial"/>
                <w:sz w:val="14"/>
                <w:szCs w:val="14"/>
                <w:i w:val="1"/>
                <w:iCs w:val="1"/>
                <w:color w:val="auto"/>
              </w:rPr>
              <w:t>Chief Legal Officer</w:t>
            </w:r>
          </w:p>
        </w:tc>
        <w:tc>
          <w:tcPr>
            <w:tcW w:w="2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vMerge w:val="continue"/>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vMerge w:val="continue"/>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vMerge w:val="continue"/>
          </w:tcPr>
          <w:p>
            <w:pPr>
              <w:spacing w:after="0"/>
              <w:rPr>
                <w:sz w:val="21"/>
                <w:szCs w:val="21"/>
                <w:color w:val="auto"/>
              </w:rPr>
            </w:pP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140" w:type="dxa"/>
            <w:vAlign w:val="bottom"/>
            <w:gridSpan w:val="2"/>
            <w:vMerge w:val="continue"/>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vMerge w:val="continue"/>
          </w:tcPr>
          <w:p>
            <w:pPr>
              <w:spacing w:after="0"/>
              <w:rPr>
                <w:sz w:val="21"/>
                <w:szCs w:val="21"/>
                <w:color w:val="auto"/>
              </w:rPr>
            </w:pP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vMerge w:val="continue"/>
          </w:tcPr>
          <w:p>
            <w:pPr>
              <w:spacing w:after="0"/>
              <w:rPr>
                <w:sz w:val="21"/>
                <w:szCs w:val="21"/>
                <w:color w:val="auto"/>
              </w:rPr>
            </w:pP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9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4"/>
                <w:szCs w:val="4"/>
                <w:color w:val="auto"/>
              </w:rPr>
              <w:t>​</w:t>
            </w:r>
          </w:p>
        </w:tc>
        <w:tc>
          <w:tcPr>
            <w:tcW w:w="440" w:type="dxa"/>
            <w:vAlign w:val="bottom"/>
            <w:gridSpan w:val="2"/>
          </w:tcPr>
          <w:p>
            <w:pPr>
              <w:jc w:val="right"/>
              <w:ind w:right="71"/>
              <w:spacing w:after="0"/>
              <w:rPr>
                <w:sz w:val="20"/>
                <w:szCs w:val="20"/>
                <w:color w:val="auto"/>
              </w:rPr>
            </w:pPr>
            <w:r>
              <w:rPr>
                <w:rFonts w:ascii="Arial" w:cs="Arial" w:eastAsia="Arial" w:hAnsi="Arial"/>
                <w:sz w:val="14"/>
                <w:szCs w:val="14"/>
                <w:color w:val="auto"/>
                <w:w w:val="96"/>
              </w:rPr>
              <w:t xml:space="preserve">2020 </w:t>
            </w:r>
            <w:r>
              <w:rPr>
                <w:rFonts w:ascii="Arial" w:cs="Arial" w:eastAsia="Arial" w:hAnsi="Arial"/>
                <w:sz w:val="3"/>
                <w:szCs w:val="3"/>
                <w:color w:val="auto"/>
                <w:w w:val="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70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475,000 </w:t>
            </w:r>
            <w:r>
              <w:rPr>
                <w:rFonts w:ascii="Arial" w:cs="Arial" w:eastAsia="Arial" w:hAnsi="Arial"/>
                <w:sz w:val="3"/>
                <w:szCs w:val="3"/>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44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40" w:type="dxa"/>
            <w:vAlign w:val="bottom"/>
          </w:tcPr>
          <w:p>
            <w:pPr>
              <w:ind w:left="80"/>
              <w:spacing w:after="0"/>
              <w:rPr>
                <w:sz w:val="20"/>
                <w:szCs w:val="20"/>
                <w:color w:val="auto"/>
              </w:rPr>
            </w:pPr>
            <w:r>
              <w:rPr>
                <w:rFonts w:ascii="Arial" w:cs="Arial" w:eastAsia="Arial" w:hAnsi="Arial"/>
                <w:sz w:val="4"/>
                <w:szCs w:val="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2,422,649</w:t>
            </w:r>
          </w:p>
        </w:tc>
        <w:tc>
          <w:tcPr>
            <w:tcW w:w="100" w:type="dxa"/>
            <w:vAlign w:val="bottom"/>
          </w:tcPr>
          <w:p>
            <w:pPr>
              <w:jc w:val="right"/>
              <w:ind w:right="7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408,322</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80" w:type="dxa"/>
            <w:vAlign w:val="bottom"/>
          </w:tcPr>
          <w:p>
            <w:pPr>
              <w:ind w:left="400"/>
              <w:spacing w:after="0"/>
              <w:rPr>
                <w:sz w:val="20"/>
                <w:szCs w:val="20"/>
                <w:color w:val="auto"/>
              </w:rPr>
            </w:pPr>
            <w:r>
              <w:rPr>
                <w:rFonts w:ascii="Arial" w:cs="Arial" w:eastAsia="Arial" w:hAnsi="Arial"/>
                <w:sz w:val="14"/>
                <w:szCs w:val="14"/>
                <w:color w:val="auto"/>
              </w:rPr>
              <w:t>4,500</w:t>
            </w:r>
          </w:p>
        </w:tc>
        <w:tc>
          <w:tcPr>
            <w:tcW w:w="16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60" w:type="dxa"/>
            <w:vAlign w:val="bottom"/>
          </w:tcPr>
          <w:p>
            <w:pPr>
              <w:ind w:left="100"/>
              <w:spacing w:after="0"/>
              <w:rPr>
                <w:sz w:val="20"/>
                <w:szCs w:val="20"/>
                <w:color w:val="auto"/>
              </w:rPr>
            </w:pPr>
            <w:r>
              <w:rPr>
                <w:rFonts w:ascii="Arial" w:cs="Arial" w:eastAsia="Arial" w:hAnsi="Arial"/>
                <w:sz w:val="4"/>
                <w:szCs w:val="4"/>
                <w:color w:val="auto"/>
              </w:rPr>
              <w:t>​</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3,310,471</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4" w:right="120" w:hanging="244"/>
        <w:spacing w:after="0" w:line="207" w:lineRule="auto"/>
        <w:tabs>
          <w:tab w:leader="none" w:pos="244"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Unless otherwise described in the footnotes below, the amounts reported represent the aggregate grant-date fair value of the RSAs based on the closing price for a share of our Class A common stock as reported by Nasdaq on the day immediately preceding the grant date, calculated in accordance with ASC Topic 718.</w:t>
      </w:r>
    </w:p>
    <w:p>
      <w:pPr>
        <w:ind w:left="244" w:right="260" w:hanging="244"/>
        <w:spacing w:after="0" w:line="195" w:lineRule="auto"/>
        <w:tabs>
          <w:tab w:leader="none" w:pos="244"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amounts reported represent the amounts payable under our cash bonus plans for 2020, 2021, and 2022, respectively.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Elements—Annual Cash Bonuses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54"/>
        </w:numPr>
        <w:rPr>
          <w:rFonts w:ascii="Arial" w:cs="Arial" w:eastAsia="Arial" w:hAnsi="Arial"/>
          <w:sz w:val="20"/>
          <w:szCs w:val="20"/>
          <w:color w:val="auto"/>
          <w:vertAlign w:val="superscript"/>
        </w:rPr>
      </w:pPr>
      <w:r>
        <w:rPr>
          <w:rFonts w:ascii="Arial" w:cs="Arial" w:eastAsia="Arial" w:hAnsi="Arial"/>
          <w:sz w:val="14"/>
          <w:szCs w:val="14"/>
          <w:color w:val="auto"/>
        </w:rPr>
        <w:t>Unless otherwise noted, the amount reported reflects matching 401(k) contributions in 2020, 2021 and 2022.</w:t>
      </w:r>
    </w:p>
    <w:p>
      <w:pPr>
        <w:spacing w:after="0" w:line="16"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Includes expenses related to security programs and related costs.</w:t>
      </w:r>
    </w:p>
    <w:p>
      <w:pPr>
        <w:spacing w:after="0" w:line="3" w:lineRule="exact"/>
        <w:rPr>
          <w:rFonts w:ascii="Arial" w:cs="Arial" w:eastAsia="Arial" w:hAnsi="Arial"/>
          <w:sz w:val="19"/>
          <w:szCs w:val="19"/>
          <w:color w:val="auto"/>
          <w:vertAlign w:val="superscript"/>
        </w:rPr>
      </w:pPr>
    </w:p>
    <w:p>
      <w:pPr>
        <w:ind w:left="244" w:right="80" w:hanging="244"/>
        <w:spacing w:after="0" w:line="222" w:lineRule="auto"/>
        <w:tabs>
          <w:tab w:leader="none" w:pos="244"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an approximately three-year performance period based on the achievement of certain stock price goals measured over a consecutive thirty-day trading period during twelve-month measurement periods. We calculated the grant date fair value based on multiple stock price paths developed through the use of a Monte Carlo simulation. See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above. If the RSAs were instead valued based on the achievement of the maximum stock price goals in each measurement period (and thus the maximum number of shares that may be issued under the performance-based RSA are issued), the aggregate market value of the RSAs on the date of grant would be $32,044,160.</w:t>
      </w:r>
    </w:p>
    <w:p>
      <w:pPr>
        <w:spacing w:after="0" w:line="1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53" w:name="page54"/>
    <w:bookmarkEnd w:id="53"/>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ind w:left="4"/>
        <w:spacing w:after="0"/>
        <w:rPr>
          <w:sz w:val="20"/>
          <w:szCs w:val="20"/>
          <w:color w:val="auto"/>
        </w:rPr>
      </w:pPr>
      <w:r>
        <w:rPr>
          <w:rFonts w:ascii="Arial" w:cs="Arial" w:eastAsia="Arial" w:hAnsi="Arial"/>
          <w:sz w:val="26"/>
          <w:szCs w:val="26"/>
          <w:color w:val="0063A6"/>
        </w:rPr>
        <w:t>Grants of Plan-Based Awards in 2022</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077585" cy="2091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7585" cy="2091690"/>
                    </a:xfrm>
                    <a:prstGeom prst="rect">
                      <a:avLst/>
                    </a:prstGeom>
                    <a:noFill/>
                  </pic:spPr>
                </pic:pic>
              </a:graphicData>
            </a:graphic>
          </wp:anchor>
        </w:drawing>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shd w:val="clear" w:color="auto" w:fill="0063A6"/>
          </w:tcPr>
          <w:p>
            <w:pPr>
              <w:spacing w:after="0"/>
              <w:rPr>
                <w:sz w:val="22"/>
                <w:szCs w:val="22"/>
                <w:color w:val="auto"/>
              </w:rPr>
            </w:pPr>
          </w:p>
        </w:tc>
        <w:tc>
          <w:tcPr>
            <w:tcW w:w="160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84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94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2580" w:type="dxa"/>
            <w:vAlign w:val="bottom"/>
            <w:gridSpan w:val="7"/>
            <w:shd w:val="clear" w:color="auto" w:fill="0063A6"/>
          </w:tcPr>
          <w:p>
            <w:pPr>
              <w:jc w:val="center"/>
              <w:ind w:left="22"/>
              <w:spacing w:after="0"/>
              <w:rPr>
                <w:sz w:val="20"/>
                <w:szCs w:val="20"/>
                <w:color w:val="auto"/>
              </w:rPr>
            </w:pPr>
            <w:r>
              <w:rPr>
                <w:rFonts w:ascii="Arial" w:cs="Arial" w:eastAsia="Arial" w:hAnsi="Arial"/>
                <w:sz w:val="14"/>
                <w:szCs w:val="14"/>
                <w:b w:val="1"/>
                <w:bCs w:val="1"/>
                <w:color w:val="FFFFFF"/>
              </w:rPr>
              <w:t>Estimated Future Payouts Under</w:t>
            </w:r>
          </w:p>
        </w:tc>
        <w:tc>
          <w:tcPr>
            <w:tcW w:w="240" w:type="dxa"/>
            <w:vAlign w:val="bottom"/>
            <w:shd w:val="clear" w:color="auto" w:fill="0063A6"/>
          </w:tcPr>
          <w:p>
            <w:pPr>
              <w:spacing w:after="0"/>
              <w:rPr>
                <w:sz w:val="22"/>
                <w:szCs w:val="22"/>
                <w:color w:val="auto"/>
              </w:rPr>
            </w:pPr>
          </w:p>
        </w:tc>
        <w:tc>
          <w:tcPr>
            <w:tcW w:w="80" w:type="dxa"/>
            <w:vAlign w:val="bottom"/>
            <w:shd w:val="clear" w:color="auto" w:fill="0063A6"/>
          </w:tcPr>
          <w:p>
            <w:pPr>
              <w:spacing w:after="0"/>
              <w:rPr>
                <w:sz w:val="22"/>
                <w:szCs w:val="22"/>
                <w:color w:val="auto"/>
              </w:rPr>
            </w:pPr>
          </w:p>
        </w:tc>
        <w:tc>
          <w:tcPr>
            <w:tcW w:w="80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8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112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0063A6"/>
          </w:tcPr>
          <w:p>
            <w:pPr>
              <w:spacing w:after="0"/>
              <w:rPr>
                <w:sz w:val="4"/>
                <w:szCs w:val="4"/>
                <w:color w:val="auto"/>
              </w:rPr>
            </w:pPr>
          </w:p>
        </w:tc>
        <w:tc>
          <w:tcPr>
            <w:tcW w:w="1600" w:type="dxa"/>
            <w:vAlign w:val="bottom"/>
            <w:shd w:val="clear" w:color="auto" w:fill="0063A6"/>
          </w:tcPr>
          <w:p>
            <w:pPr>
              <w:spacing w:after="0"/>
              <w:rPr>
                <w:sz w:val="4"/>
                <w:szCs w:val="4"/>
                <w:color w:val="auto"/>
              </w:rPr>
            </w:pPr>
          </w:p>
        </w:tc>
        <w:tc>
          <w:tcPr>
            <w:tcW w:w="220" w:type="dxa"/>
            <w:vAlign w:val="bottom"/>
            <w:shd w:val="clear" w:color="auto" w:fill="0063A6"/>
          </w:tcPr>
          <w:p>
            <w:pPr>
              <w:spacing w:after="0"/>
              <w:rPr>
                <w:sz w:val="4"/>
                <w:szCs w:val="4"/>
                <w:color w:val="auto"/>
              </w:rPr>
            </w:pPr>
          </w:p>
        </w:tc>
        <w:tc>
          <w:tcPr>
            <w:tcW w:w="160" w:type="dxa"/>
            <w:vAlign w:val="bottom"/>
            <w:shd w:val="clear" w:color="auto" w:fill="0063A6"/>
          </w:tcPr>
          <w:p>
            <w:pPr>
              <w:spacing w:after="0"/>
              <w:rPr>
                <w:sz w:val="4"/>
                <w:szCs w:val="4"/>
                <w:color w:val="auto"/>
              </w:rPr>
            </w:pPr>
          </w:p>
        </w:tc>
        <w:tc>
          <w:tcPr>
            <w:tcW w:w="840" w:type="dxa"/>
            <w:vAlign w:val="bottom"/>
            <w:shd w:val="clear" w:color="auto" w:fill="0063A6"/>
          </w:tcPr>
          <w:p>
            <w:pPr>
              <w:spacing w:after="0"/>
              <w:rPr>
                <w:sz w:val="4"/>
                <w:szCs w:val="4"/>
                <w:color w:val="auto"/>
              </w:rPr>
            </w:pPr>
          </w:p>
        </w:tc>
        <w:tc>
          <w:tcPr>
            <w:tcW w:w="140" w:type="dxa"/>
            <w:vAlign w:val="bottom"/>
            <w:shd w:val="clear" w:color="auto" w:fill="0063A6"/>
          </w:tcPr>
          <w:p>
            <w:pPr>
              <w:spacing w:after="0"/>
              <w:rPr>
                <w:sz w:val="4"/>
                <w:szCs w:val="4"/>
                <w:color w:val="auto"/>
              </w:rPr>
            </w:pPr>
          </w:p>
        </w:tc>
        <w:tc>
          <w:tcPr>
            <w:tcW w:w="140" w:type="dxa"/>
            <w:vAlign w:val="bottom"/>
            <w:shd w:val="clear" w:color="auto" w:fill="0063A6"/>
          </w:tcPr>
          <w:p>
            <w:pPr>
              <w:spacing w:after="0"/>
              <w:rPr>
                <w:sz w:val="4"/>
                <w:szCs w:val="4"/>
                <w:color w:val="auto"/>
              </w:rPr>
            </w:pPr>
          </w:p>
        </w:tc>
        <w:tc>
          <w:tcPr>
            <w:tcW w:w="940" w:type="dxa"/>
            <w:vAlign w:val="bottom"/>
            <w:shd w:val="clear" w:color="auto" w:fill="0063A6"/>
          </w:tcPr>
          <w:p>
            <w:pPr>
              <w:spacing w:after="0"/>
              <w:rPr>
                <w:sz w:val="4"/>
                <w:szCs w:val="4"/>
                <w:color w:val="auto"/>
              </w:rPr>
            </w:pPr>
          </w:p>
        </w:tc>
        <w:tc>
          <w:tcPr>
            <w:tcW w:w="160" w:type="dxa"/>
            <w:vAlign w:val="bottom"/>
            <w:shd w:val="clear" w:color="auto" w:fill="0063A6"/>
          </w:tcPr>
          <w:p>
            <w:pPr>
              <w:spacing w:after="0"/>
              <w:rPr>
                <w:sz w:val="4"/>
                <w:szCs w:val="4"/>
                <w:color w:val="auto"/>
              </w:rPr>
            </w:pPr>
          </w:p>
        </w:tc>
        <w:tc>
          <w:tcPr>
            <w:tcW w:w="160" w:type="dxa"/>
            <w:vAlign w:val="bottom"/>
            <w:shd w:val="clear" w:color="auto" w:fill="0063A6"/>
          </w:tcPr>
          <w:p>
            <w:pPr>
              <w:spacing w:after="0"/>
              <w:rPr>
                <w:sz w:val="4"/>
                <w:szCs w:val="4"/>
                <w:color w:val="auto"/>
              </w:rPr>
            </w:pPr>
          </w:p>
        </w:tc>
        <w:tc>
          <w:tcPr>
            <w:tcW w:w="2580" w:type="dxa"/>
            <w:vAlign w:val="bottom"/>
            <w:gridSpan w:val="7"/>
            <w:vMerge w:val="restart"/>
            <w:shd w:val="clear" w:color="auto" w:fill="0063A6"/>
          </w:tcPr>
          <w:p>
            <w:pPr>
              <w:jc w:val="center"/>
              <w:ind w:left="22"/>
              <w:spacing w:after="0" w:line="135" w:lineRule="exact"/>
              <w:rPr>
                <w:sz w:val="20"/>
                <w:szCs w:val="20"/>
                <w:color w:val="auto"/>
              </w:rPr>
            </w:pPr>
            <w:r>
              <w:rPr>
                <w:rFonts w:ascii="Arial" w:cs="Arial" w:eastAsia="Arial" w:hAnsi="Arial"/>
                <w:sz w:val="14"/>
                <w:szCs w:val="14"/>
                <w:b w:val="1"/>
                <w:bCs w:val="1"/>
                <w:color w:val="FFFFFF"/>
              </w:rPr>
              <w:t>Non-Equity Incentive</w:t>
            </w:r>
          </w:p>
        </w:tc>
        <w:tc>
          <w:tcPr>
            <w:tcW w:w="240" w:type="dxa"/>
            <w:vAlign w:val="bottom"/>
            <w:shd w:val="clear" w:color="auto" w:fill="0063A6"/>
          </w:tcPr>
          <w:p>
            <w:pPr>
              <w:spacing w:after="0"/>
              <w:rPr>
                <w:sz w:val="4"/>
                <w:szCs w:val="4"/>
                <w:color w:val="auto"/>
              </w:rPr>
            </w:pPr>
          </w:p>
        </w:tc>
        <w:tc>
          <w:tcPr>
            <w:tcW w:w="80" w:type="dxa"/>
            <w:vAlign w:val="bottom"/>
            <w:shd w:val="clear" w:color="auto" w:fill="0063A6"/>
          </w:tcPr>
          <w:p>
            <w:pPr>
              <w:spacing w:after="0"/>
              <w:rPr>
                <w:sz w:val="4"/>
                <w:szCs w:val="4"/>
                <w:color w:val="auto"/>
              </w:rPr>
            </w:pPr>
          </w:p>
        </w:tc>
        <w:tc>
          <w:tcPr>
            <w:tcW w:w="800" w:type="dxa"/>
            <w:vAlign w:val="bottom"/>
            <w:vMerge w:val="continue"/>
            <w:shd w:val="clear" w:color="auto" w:fill="0063A6"/>
          </w:tcPr>
          <w:p>
            <w:pPr>
              <w:spacing w:after="0"/>
              <w:rPr>
                <w:sz w:val="4"/>
                <w:szCs w:val="4"/>
                <w:color w:val="auto"/>
              </w:rPr>
            </w:pPr>
          </w:p>
        </w:tc>
        <w:tc>
          <w:tcPr>
            <w:tcW w:w="80" w:type="dxa"/>
            <w:vAlign w:val="bottom"/>
            <w:shd w:val="clear" w:color="auto" w:fill="0063A6"/>
          </w:tcPr>
          <w:p>
            <w:pPr>
              <w:spacing w:after="0"/>
              <w:rPr>
                <w:sz w:val="4"/>
                <w:szCs w:val="4"/>
                <w:color w:val="auto"/>
              </w:rPr>
            </w:pPr>
          </w:p>
        </w:tc>
        <w:tc>
          <w:tcPr>
            <w:tcW w:w="140" w:type="dxa"/>
            <w:vAlign w:val="bottom"/>
            <w:shd w:val="clear" w:color="auto" w:fill="0063A6"/>
          </w:tcPr>
          <w:p>
            <w:pPr>
              <w:spacing w:after="0"/>
              <w:rPr>
                <w:sz w:val="4"/>
                <w:szCs w:val="4"/>
                <w:color w:val="auto"/>
              </w:rPr>
            </w:pPr>
          </w:p>
        </w:tc>
        <w:tc>
          <w:tcPr>
            <w:tcW w:w="1120" w:type="dxa"/>
            <w:vAlign w:val="bottom"/>
            <w:shd w:val="clear" w:color="auto" w:fill="0063A6"/>
          </w:tcPr>
          <w:p>
            <w:pPr>
              <w:spacing w:after="0"/>
              <w:rPr>
                <w:sz w:val="4"/>
                <w:szCs w:val="4"/>
                <w:color w:val="auto"/>
              </w:rPr>
            </w:pPr>
          </w:p>
        </w:tc>
        <w:tc>
          <w:tcPr>
            <w:tcW w:w="120" w:type="dxa"/>
            <w:vAlign w:val="bottom"/>
            <w:shd w:val="clear" w:color="auto" w:fill="0063A6"/>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0063A6"/>
          </w:tcPr>
          <w:p>
            <w:pPr>
              <w:spacing w:after="0"/>
              <w:rPr>
                <w:sz w:val="7"/>
                <w:szCs w:val="7"/>
                <w:color w:val="auto"/>
              </w:rPr>
            </w:pPr>
          </w:p>
        </w:tc>
        <w:tc>
          <w:tcPr>
            <w:tcW w:w="22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840" w:type="dxa"/>
            <w:vAlign w:val="bottom"/>
            <w:shd w:val="clear" w:color="auto" w:fill="0063A6"/>
          </w:tcPr>
          <w:p>
            <w:pPr>
              <w:spacing w:after="0"/>
              <w:rPr>
                <w:sz w:val="7"/>
                <w:szCs w:val="7"/>
                <w:color w:val="auto"/>
              </w:rPr>
            </w:pPr>
          </w:p>
        </w:tc>
        <w:tc>
          <w:tcPr>
            <w:tcW w:w="140" w:type="dxa"/>
            <w:vAlign w:val="bottom"/>
            <w:shd w:val="clear" w:color="auto" w:fill="0063A6"/>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spacing w:after="0"/>
              <w:rPr>
                <w:sz w:val="7"/>
                <w:szCs w:val="7"/>
                <w:color w:val="auto"/>
              </w:rPr>
            </w:pPr>
          </w:p>
        </w:tc>
        <w:tc>
          <w:tcPr>
            <w:tcW w:w="160" w:type="dxa"/>
            <w:vAlign w:val="bottom"/>
            <w:shd w:val="clear" w:color="auto" w:fill="0063A6"/>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2580" w:type="dxa"/>
            <w:vAlign w:val="bottom"/>
            <w:gridSpan w:val="7"/>
            <w:vMerge w:val="continue"/>
            <w:shd w:val="clear" w:color="auto" w:fill="0063A6"/>
          </w:tcPr>
          <w:p>
            <w:pPr>
              <w:spacing w:after="0"/>
              <w:rPr>
                <w:sz w:val="7"/>
                <w:szCs w:val="7"/>
                <w:color w:val="auto"/>
              </w:rPr>
            </w:pPr>
          </w:p>
        </w:tc>
        <w:tc>
          <w:tcPr>
            <w:tcW w:w="240" w:type="dxa"/>
            <w:vAlign w:val="bottom"/>
            <w:shd w:val="clear" w:color="auto" w:fill="0063A6"/>
          </w:tcPr>
          <w:p>
            <w:pPr>
              <w:jc w:val="right"/>
              <w:ind w:right="102"/>
              <w:spacing w:after="0"/>
              <w:rPr>
                <w:sz w:val="20"/>
                <w:szCs w:val="20"/>
                <w:color w:val="auto"/>
              </w:rPr>
            </w:pPr>
            <w:r>
              <w:rPr>
                <w:rFonts w:ascii="Arial" w:cs="Arial" w:eastAsia="Arial" w:hAnsi="Arial"/>
                <w:sz w:val="4"/>
                <w:szCs w:val="4"/>
                <w:color w:val="auto"/>
              </w:rPr>
              <w:t>​</w:t>
            </w:r>
          </w:p>
        </w:tc>
        <w:tc>
          <w:tcPr>
            <w:tcW w:w="80" w:type="dxa"/>
            <w:vAlign w:val="bottom"/>
            <w:shd w:val="clear" w:color="auto" w:fill="0063A6"/>
          </w:tcPr>
          <w:p>
            <w:pPr>
              <w:spacing w:after="0"/>
              <w:rPr>
                <w:sz w:val="7"/>
                <w:szCs w:val="7"/>
                <w:color w:val="auto"/>
              </w:rPr>
            </w:pPr>
          </w:p>
        </w:tc>
        <w:tc>
          <w:tcPr>
            <w:tcW w:w="800" w:type="dxa"/>
            <w:vAlign w:val="bottom"/>
            <w:shd w:val="clear" w:color="auto" w:fill="0063A6"/>
          </w:tcPr>
          <w:p>
            <w:pPr>
              <w:jc w:val="center"/>
              <w:spacing w:after="0" w:line="68" w:lineRule="exact"/>
              <w:rPr>
                <w:sz w:val="20"/>
                <w:szCs w:val="20"/>
                <w:color w:val="auto"/>
              </w:rPr>
            </w:pPr>
            <w:r>
              <w:rPr>
                <w:rFonts w:ascii="Arial" w:cs="Arial" w:eastAsia="Arial" w:hAnsi="Arial"/>
                <w:sz w:val="7"/>
                <w:szCs w:val="7"/>
                <w:b w:val="1"/>
                <w:bCs w:val="1"/>
                <w:color w:val="FFFFFF"/>
              </w:rPr>
              <w:t>Stock</w:t>
            </w:r>
          </w:p>
        </w:tc>
        <w:tc>
          <w:tcPr>
            <w:tcW w:w="8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1120" w:type="dxa"/>
            <w:vAlign w:val="bottom"/>
            <w:shd w:val="clear" w:color="auto" w:fill="0063A6"/>
          </w:tcPr>
          <w:p>
            <w:pPr>
              <w:spacing w:after="0"/>
              <w:rPr>
                <w:sz w:val="7"/>
                <w:szCs w:val="7"/>
                <w:color w:val="auto"/>
              </w:rPr>
            </w:pPr>
          </w:p>
        </w:tc>
        <w:tc>
          <w:tcPr>
            <w:tcW w:w="120" w:type="dxa"/>
            <w:vAlign w:val="bottom"/>
            <w:shd w:val="clear" w:color="auto" w:fill="0063A6"/>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0063A6"/>
          </w:tcPr>
          <w:p>
            <w:pPr>
              <w:spacing w:after="0"/>
              <w:rPr>
                <w:sz w:val="21"/>
                <w:szCs w:val="21"/>
                <w:color w:val="auto"/>
              </w:rPr>
            </w:pPr>
          </w:p>
        </w:tc>
        <w:tc>
          <w:tcPr>
            <w:tcW w:w="1600" w:type="dxa"/>
            <w:vAlign w:val="bottom"/>
            <w:shd w:val="clear" w:color="auto" w:fill="0063A6"/>
          </w:tcPr>
          <w:p>
            <w:pPr>
              <w:spacing w:after="0"/>
              <w:rPr>
                <w:sz w:val="21"/>
                <w:szCs w:val="21"/>
                <w:color w:val="auto"/>
              </w:rPr>
            </w:pPr>
          </w:p>
        </w:tc>
        <w:tc>
          <w:tcPr>
            <w:tcW w:w="220" w:type="dxa"/>
            <w:vAlign w:val="bottom"/>
            <w:shd w:val="clear" w:color="auto" w:fill="0063A6"/>
          </w:tcPr>
          <w:p>
            <w:pPr>
              <w:spacing w:after="0"/>
              <w:rPr>
                <w:sz w:val="21"/>
                <w:szCs w:val="21"/>
                <w:color w:val="auto"/>
              </w:rPr>
            </w:pPr>
          </w:p>
        </w:tc>
        <w:tc>
          <w:tcPr>
            <w:tcW w:w="160" w:type="dxa"/>
            <w:vAlign w:val="bottom"/>
            <w:shd w:val="clear" w:color="auto" w:fill="0063A6"/>
          </w:tcPr>
          <w:p>
            <w:pPr>
              <w:spacing w:after="0"/>
              <w:rPr>
                <w:sz w:val="21"/>
                <w:szCs w:val="21"/>
                <w:color w:val="auto"/>
              </w:rPr>
            </w:pPr>
          </w:p>
        </w:tc>
        <w:tc>
          <w:tcPr>
            <w:tcW w:w="840" w:type="dxa"/>
            <w:vAlign w:val="bottom"/>
            <w:shd w:val="clear" w:color="auto" w:fill="0063A6"/>
          </w:tcPr>
          <w:p>
            <w:pPr>
              <w:spacing w:after="0"/>
              <w:rPr>
                <w:sz w:val="21"/>
                <w:szCs w:val="21"/>
                <w:color w:val="auto"/>
              </w:rPr>
            </w:pPr>
          </w:p>
        </w:tc>
        <w:tc>
          <w:tcPr>
            <w:tcW w:w="140" w:type="dxa"/>
            <w:vAlign w:val="bottom"/>
            <w:shd w:val="clear" w:color="auto" w:fill="0063A6"/>
          </w:tcPr>
          <w:p>
            <w:pPr>
              <w:spacing w:after="0"/>
              <w:rPr>
                <w:sz w:val="21"/>
                <w:szCs w:val="21"/>
                <w:color w:val="auto"/>
              </w:rPr>
            </w:pPr>
          </w:p>
        </w:tc>
        <w:tc>
          <w:tcPr>
            <w:tcW w:w="140" w:type="dxa"/>
            <w:vAlign w:val="bottom"/>
            <w:shd w:val="clear" w:color="auto" w:fill="0063A6"/>
          </w:tcPr>
          <w:p>
            <w:pPr>
              <w:spacing w:after="0"/>
              <w:rPr>
                <w:sz w:val="21"/>
                <w:szCs w:val="21"/>
                <w:color w:val="auto"/>
              </w:rPr>
            </w:pPr>
          </w:p>
        </w:tc>
        <w:tc>
          <w:tcPr>
            <w:tcW w:w="940" w:type="dxa"/>
            <w:vAlign w:val="bottom"/>
            <w:shd w:val="clear" w:color="auto" w:fill="0063A6"/>
          </w:tcPr>
          <w:p>
            <w:pPr>
              <w:spacing w:after="0"/>
              <w:rPr>
                <w:sz w:val="21"/>
                <w:szCs w:val="21"/>
                <w:color w:val="auto"/>
              </w:rPr>
            </w:pPr>
          </w:p>
        </w:tc>
        <w:tc>
          <w:tcPr>
            <w:tcW w:w="160" w:type="dxa"/>
            <w:vAlign w:val="bottom"/>
            <w:shd w:val="clear" w:color="auto" w:fill="0063A6"/>
          </w:tcPr>
          <w:p>
            <w:pPr>
              <w:spacing w:after="0"/>
              <w:rPr>
                <w:sz w:val="21"/>
                <w:szCs w:val="21"/>
                <w:color w:val="auto"/>
              </w:rPr>
            </w:pPr>
          </w:p>
        </w:tc>
        <w:tc>
          <w:tcPr>
            <w:tcW w:w="160" w:type="dxa"/>
            <w:vAlign w:val="bottom"/>
            <w:shd w:val="clear" w:color="auto" w:fill="0063A6"/>
          </w:tcPr>
          <w:p>
            <w:pPr>
              <w:spacing w:after="0"/>
              <w:rPr>
                <w:sz w:val="21"/>
                <w:szCs w:val="21"/>
                <w:color w:val="auto"/>
              </w:rPr>
            </w:pPr>
          </w:p>
        </w:tc>
        <w:tc>
          <w:tcPr>
            <w:tcW w:w="720" w:type="dxa"/>
            <w:vAlign w:val="bottom"/>
            <w:shd w:val="clear" w:color="auto" w:fill="0063A6"/>
          </w:tcPr>
          <w:p>
            <w:pPr>
              <w:spacing w:after="0"/>
              <w:rPr>
                <w:sz w:val="21"/>
                <w:szCs w:val="21"/>
                <w:color w:val="auto"/>
              </w:rPr>
            </w:pPr>
          </w:p>
        </w:tc>
        <w:tc>
          <w:tcPr>
            <w:tcW w:w="1860" w:type="dxa"/>
            <w:vAlign w:val="bottom"/>
            <w:gridSpan w:val="6"/>
            <w:shd w:val="clear" w:color="auto" w:fill="0063A6"/>
          </w:tcPr>
          <w:p>
            <w:pPr>
              <w:jc w:val="center"/>
              <w:ind w:right="480"/>
              <w:spacing w:after="0" w:line="243" w:lineRule="exact"/>
              <w:rPr>
                <w:sz w:val="20"/>
                <w:szCs w:val="20"/>
                <w:color w:val="auto"/>
              </w:rPr>
            </w:pPr>
            <w:r>
              <w:rPr>
                <w:rFonts w:ascii="Arial" w:cs="Arial" w:eastAsia="Arial" w:hAnsi="Arial"/>
                <w:sz w:val="14"/>
                <w:szCs w:val="14"/>
                <w:b w:val="1"/>
                <w:bCs w:val="1"/>
                <w:color w:val="FFFFFF"/>
                <w:w w:val="98"/>
              </w:rPr>
              <w:t>Plan Awards ($)</w:t>
            </w:r>
            <w:r>
              <w:rPr>
                <w:rFonts w:ascii="Arial" w:cs="Arial" w:eastAsia="Arial" w:hAnsi="Arial"/>
                <w:sz w:val="23"/>
                <w:szCs w:val="23"/>
                <w:b w:val="1"/>
                <w:bCs w:val="1"/>
                <w:color w:val="FFFFFF"/>
                <w:w w:val="98"/>
                <w:vertAlign w:val="superscript"/>
              </w:rPr>
              <w:t>(1)</w:t>
            </w:r>
          </w:p>
        </w:tc>
        <w:tc>
          <w:tcPr>
            <w:tcW w:w="240" w:type="dxa"/>
            <w:vAlign w:val="bottom"/>
            <w:shd w:val="clear" w:color="auto" w:fill="0063A6"/>
          </w:tcPr>
          <w:p>
            <w:pPr>
              <w:spacing w:after="0"/>
              <w:rPr>
                <w:sz w:val="21"/>
                <w:szCs w:val="21"/>
                <w:color w:val="auto"/>
              </w:rPr>
            </w:pPr>
          </w:p>
        </w:tc>
        <w:tc>
          <w:tcPr>
            <w:tcW w:w="8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88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Awards:  </w:t>
            </w:r>
            <w:r>
              <w:rPr>
                <w:rFonts w:ascii="Arial" w:cs="Arial" w:eastAsia="Arial" w:hAnsi="Arial"/>
                <w:sz w:val="3"/>
                <w:szCs w:val="3"/>
                <w:color w:val="000000"/>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2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Grant Date</w:t>
            </w:r>
          </w:p>
        </w:tc>
        <w:tc>
          <w:tcPr>
            <w:tcW w:w="12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0063A6"/>
          </w:tcPr>
          <w:p>
            <w:pPr>
              <w:spacing w:after="0"/>
              <w:rPr>
                <w:sz w:val="12"/>
                <w:szCs w:val="12"/>
                <w:color w:val="auto"/>
              </w:rPr>
            </w:pPr>
          </w:p>
        </w:tc>
        <w:tc>
          <w:tcPr>
            <w:tcW w:w="1600" w:type="dxa"/>
            <w:vAlign w:val="bottom"/>
            <w:shd w:val="clear" w:color="auto" w:fill="0063A6"/>
          </w:tcPr>
          <w:p>
            <w:pPr>
              <w:spacing w:after="0"/>
              <w:rPr>
                <w:sz w:val="12"/>
                <w:szCs w:val="12"/>
                <w:color w:val="auto"/>
              </w:rPr>
            </w:pPr>
          </w:p>
        </w:tc>
        <w:tc>
          <w:tcPr>
            <w:tcW w:w="22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8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72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6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700" w:type="dxa"/>
            <w:vAlign w:val="bottom"/>
            <w:shd w:val="clear" w:color="auto" w:fill="0063A6"/>
          </w:tcPr>
          <w:p>
            <w:pPr>
              <w:spacing w:after="0"/>
              <w:rPr>
                <w:sz w:val="12"/>
                <w:szCs w:val="12"/>
                <w:color w:val="auto"/>
              </w:rPr>
            </w:pPr>
          </w:p>
        </w:tc>
        <w:tc>
          <w:tcPr>
            <w:tcW w:w="24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800" w:type="dxa"/>
            <w:vAlign w:val="bottom"/>
            <w:shd w:val="clear" w:color="auto" w:fill="0063A6"/>
          </w:tcPr>
          <w:p>
            <w:pPr>
              <w:jc w:val="center"/>
              <w:spacing w:after="0" w:line="148" w:lineRule="exact"/>
              <w:rPr>
                <w:sz w:val="20"/>
                <w:szCs w:val="20"/>
                <w:color w:val="auto"/>
              </w:rPr>
            </w:pPr>
            <w:r>
              <w:rPr>
                <w:rFonts w:ascii="Arial" w:cs="Arial" w:eastAsia="Arial" w:hAnsi="Arial"/>
                <w:sz w:val="14"/>
                <w:szCs w:val="14"/>
                <w:b w:val="1"/>
                <w:bCs w:val="1"/>
                <w:color w:val="FFFFFF"/>
              </w:rPr>
              <w:t>Number of</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20" w:type="dxa"/>
            <w:vAlign w:val="bottom"/>
            <w:vMerge w:val="continue"/>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22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98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Grant Date </w:t>
            </w:r>
            <w:r>
              <w:rPr>
                <w:rFonts w:ascii="Arial" w:cs="Arial" w:eastAsia="Arial" w:hAnsi="Arial"/>
                <w:sz w:val="3"/>
                <w:szCs w:val="3"/>
                <w:color w:val="000000"/>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0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Approval Date</w:t>
            </w:r>
            <w:r>
              <w:rPr>
                <w:rFonts w:ascii="Arial" w:cs="Arial" w:eastAsia="Arial" w:hAnsi="Arial"/>
                <w:sz w:val="3"/>
                <w:szCs w:val="3"/>
                <w:color w:val="000000"/>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840" w:type="dxa"/>
            <w:vAlign w:val="bottom"/>
            <w:gridSpan w:val="2"/>
            <w:shd w:val="clear" w:color="auto" w:fill="0063A6"/>
          </w:tcPr>
          <w:p>
            <w:pPr>
              <w:jc w:val="right"/>
              <w:ind w:right="34"/>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3"/>
                <w:szCs w:val="3"/>
                <w:color w:val="000000"/>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940" w:type="dxa"/>
            <w:vAlign w:val="bottom"/>
            <w:gridSpan w:val="2"/>
            <w:shd w:val="clear" w:color="auto" w:fill="0063A6"/>
          </w:tcPr>
          <w:p>
            <w:pPr>
              <w:jc w:val="right"/>
              <w:ind w:right="102"/>
              <w:spacing w:after="0"/>
              <w:rPr>
                <w:sz w:val="20"/>
                <w:szCs w:val="20"/>
                <w:color w:val="auto"/>
              </w:rPr>
            </w:pPr>
            <w:r>
              <w:rPr>
                <w:rFonts w:ascii="Arial" w:cs="Arial" w:eastAsia="Arial" w:hAnsi="Arial"/>
                <w:sz w:val="14"/>
                <w:szCs w:val="14"/>
                <w:b w:val="1"/>
                <w:bCs w:val="1"/>
                <w:color w:val="FFFFFF"/>
              </w:rPr>
              <w:t xml:space="preserve">Maximum </w:t>
            </w:r>
            <w:r>
              <w:rPr>
                <w:rFonts w:ascii="Arial" w:cs="Arial" w:eastAsia="Arial" w:hAnsi="Arial"/>
                <w:sz w:val="3"/>
                <w:szCs w:val="3"/>
                <w:color w:val="000000"/>
              </w:rPr>
              <w:t>​</w:t>
            </w:r>
          </w:p>
        </w:tc>
        <w:tc>
          <w:tcPr>
            <w:tcW w:w="80" w:type="dxa"/>
            <w:vAlign w:val="bottom"/>
            <w:shd w:val="clear" w:color="auto" w:fill="0063A6"/>
          </w:tcPr>
          <w:p>
            <w:pPr>
              <w:spacing w:after="0"/>
              <w:rPr>
                <w:sz w:val="24"/>
                <w:szCs w:val="24"/>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w:t>
            </w:r>
          </w:p>
        </w:tc>
        <w:tc>
          <w:tcPr>
            <w:tcW w:w="8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11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Fair Value ($)</w:t>
            </w:r>
            <w:r>
              <w:rPr>
                <w:rFonts w:ascii="Arial" w:cs="Arial" w:eastAsia="Arial" w:hAnsi="Arial"/>
                <w:sz w:val="23"/>
                <w:szCs w:val="23"/>
                <w:b w:val="1"/>
                <w:bCs w:val="1"/>
                <w:color w:val="FFFFFF"/>
                <w:w w:val="97"/>
                <w:vertAlign w:val="superscript"/>
              </w:rPr>
              <w:t>(2)</w:t>
            </w:r>
          </w:p>
        </w:tc>
        <w:tc>
          <w:tcPr>
            <w:tcW w:w="1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22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72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rPr>
              <w:t>234,375</w:t>
            </w:r>
          </w:p>
        </w:tc>
        <w:tc>
          <w:tcPr>
            <w:tcW w:w="120" w:type="dxa"/>
            <w:vAlign w:val="bottom"/>
            <w:shd w:val="clear" w:color="auto" w:fill="F2F2F2"/>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40" w:type="dxa"/>
            <w:vAlign w:val="bottom"/>
            <w:gridSpan w:val="2"/>
            <w:shd w:val="clear" w:color="auto" w:fill="F2F2F2"/>
          </w:tcPr>
          <w:p>
            <w:pPr>
              <w:jc w:val="right"/>
              <w:ind w:right="102"/>
              <w:spacing w:after="0"/>
              <w:rPr>
                <w:sz w:val="20"/>
                <w:szCs w:val="20"/>
                <w:color w:val="auto"/>
              </w:rPr>
            </w:pPr>
            <w:r>
              <w:rPr>
                <w:rFonts w:ascii="Arial" w:cs="Arial" w:eastAsia="Arial" w:hAnsi="Arial"/>
                <w:sz w:val="16"/>
                <w:szCs w:val="16"/>
                <w:color w:val="auto"/>
              </w:rPr>
              <w:t xml:space="preserve">1,171,875 </w:t>
            </w:r>
            <w:r>
              <w:rPr>
                <w:rFonts w:ascii="Arial" w:cs="Arial" w:eastAsia="Arial" w:hAnsi="Arial"/>
                <w:sz w:val="3"/>
                <w:szCs w:val="3"/>
                <w:color w:val="auto"/>
              </w:rPr>
              <w:t>​</w:t>
            </w:r>
          </w:p>
        </w:tc>
        <w:tc>
          <w:tcPr>
            <w:tcW w:w="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3"/>
        </w:trPr>
        <w:tc>
          <w:tcPr>
            <w:tcW w:w="40" w:type="dxa"/>
            <w:vAlign w:val="bottom"/>
            <w:shd w:val="clear" w:color="auto" w:fill="F2F2F2"/>
          </w:tcPr>
          <w:p>
            <w:pPr>
              <w:spacing w:after="0"/>
              <w:rPr>
                <w:sz w:val="6"/>
                <w:szCs w:val="6"/>
                <w:color w:val="auto"/>
              </w:rPr>
            </w:pPr>
          </w:p>
        </w:tc>
        <w:tc>
          <w:tcPr>
            <w:tcW w:w="160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720" w:type="dxa"/>
            <w:vAlign w:val="bottom"/>
            <w:shd w:val="clear" w:color="auto" w:fill="F2F2F2"/>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660" w:type="dxa"/>
            <w:vAlign w:val="bottom"/>
            <w:shd w:val="clear" w:color="auto" w:fill="F2F2F2"/>
          </w:tcPr>
          <w:p>
            <w:pPr>
              <w:spacing w:after="0"/>
              <w:rPr>
                <w:sz w:val="6"/>
                <w:szCs w:val="6"/>
                <w:color w:val="auto"/>
              </w:rPr>
            </w:pPr>
          </w:p>
        </w:tc>
        <w:tc>
          <w:tcPr>
            <w:tcW w:w="1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940" w:type="dxa"/>
            <w:vAlign w:val="bottom"/>
            <w:gridSpan w:val="2"/>
            <w:shd w:val="clear" w:color="auto" w:fill="F2F2F2"/>
          </w:tcPr>
          <w:p>
            <w:pPr>
              <w:spacing w:after="0"/>
              <w:rPr>
                <w:sz w:val="6"/>
                <w:szCs w:val="6"/>
                <w:color w:val="auto"/>
              </w:rPr>
            </w:pPr>
          </w:p>
        </w:tc>
        <w:tc>
          <w:tcPr>
            <w:tcW w:w="80" w:type="dxa"/>
            <w:vAlign w:val="bottom"/>
            <w:shd w:val="clear" w:color="auto" w:fill="F2F2F2"/>
          </w:tcPr>
          <w:p>
            <w:pPr>
              <w:spacing w:after="0"/>
              <w:rPr>
                <w:sz w:val="6"/>
                <w:szCs w:val="6"/>
                <w:color w:val="auto"/>
              </w:rPr>
            </w:pPr>
          </w:p>
        </w:tc>
        <w:tc>
          <w:tcPr>
            <w:tcW w:w="800" w:type="dxa"/>
            <w:vAlign w:val="bottom"/>
            <w:shd w:val="clear" w:color="auto" w:fill="F2F2F2"/>
          </w:tcPr>
          <w:p>
            <w:pPr>
              <w:spacing w:after="0"/>
              <w:rPr>
                <w:sz w:val="6"/>
                <w:szCs w:val="6"/>
                <w:color w:val="auto"/>
              </w:rPr>
            </w:pPr>
          </w:p>
        </w:tc>
        <w:tc>
          <w:tcPr>
            <w:tcW w:w="8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120" w:type="dxa"/>
            <w:vAlign w:val="bottom"/>
            <w:shd w:val="clear" w:color="auto" w:fill="F2F2F2"/>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60"/>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720" w:type="dxa"/>
            <w:vAlign w:val="bottom"/>
          </w:tcPr>
          <w:p>
            <w:pPr>
              <w:jc w:val="center"/>
              <w:ind w:left="2"/>
              <w:spacing w:after="0"/>
              <w:rPr>
                <w:sz w:val="20"/>
                <w:szCs w:val="20"/>
                <w:color w:val="auto"/>
              </w:rPr>
            </w:pPr>
            <w:r>
              <w:rPr>
                <w:rFonts w:ascii="Arial" w:cs="Arial" w:eastAsia="Arial" w:hAnsi="Arial"/>
                <w:sz w:val="16"/>
                <w:szCs w:val="16"/>
                <w:color w:val="auto"/>
              </w:rPr>
              <w:t>127,487</w:t>
            </w:r>
          </w:p>
        </w:tc>
        <w:tc>
          <w:tcPr>
            <w:tcW w:w="12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339,967</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gridSpan w:val="2"/>
          </w:tcPr>
          <w:p>
            <w:pPr>
              <w:jc w:val="right"/>
              <w:ind w:right="102"/>
              <w:spacing w:after="0"/>
              <w:rPr>
                <w:sz w:val="20"/>
                <w:szCs w:val="20"/>
                <w:color w:val="auto"/>
              </w:rPr>
            </w:pPr>
            <w:r>
              <w:rPr>
                <w:rFonts w:ascii="Arial" w:cs="Arial" w:eastAsia="Arial" w:hAnsi="Arial"/>
                <w:sz w:val="16"/>
                <w:szCs w:val="16"/>
                <w:color w:val="auto"/>
              </w:rPr>
              <w:t xml:space="preserve">637,438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4/1/2022</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60"/>
              <w:spacing w:after="0"/>
              <w:rPr>
                <w:sz w:val="20"/>
                <w:szCs w:val="20"/>
                <w:color w:val="auto"/>
              </w:rPr>
            </w:pPr>
            <w:r>
              <w:rPr>
                <w:rFonts w:ascii="Arial" w:cs="Arial" w:eastAsia="Arial" w:hAnsi="Arial"/>
                <w:sz w:val="16"/>
                <w:szCs w:val="16"/>
                <w:color w:val="auto"/>
              </w:rPr>
              <w:t>3/2/2022</w:t>
            </w:r>
          </w:p>
        </w:tc>
        <w:tc>
          <w:tcPr>
            <w:tcW w:w="1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720" w:type="dxa"/>
            <w:vAlign w:val="bottom"/>
          </w:tcPr>
          <w:p>
            <w:pPr>
              <w:jc w:val="center"/>
              <w:ind w:left="2"/>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201,837</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20" w:type="dxa"/>
            <w:vAlign w:val="bottom"/>
          </w:tcPr>
          <w:p>
            <w:pPr>
              <w:jc w:val="center"/>
              <w:spacing w:after="0"/>
              <w:rPr>
                <w:sz w:val="20"/>
                <w:szCs w:val="20"/>
                <w:color w:val="auto"/>
              </w:rPr>
            </w:pPr>
            <w:r>
              <w:rPr>
                <w:rFonts w:ascii="Arial" w:cs="Arial" w:eastAsia="Arial" w:hAnsi="Arial"/>
                <w:sz w:val="16"/>
                <w:szCs w:val="16"/>
                <w:color w:val="auto"/>
              </w:rPr>
              <w:t>4,692,710</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Young</w:t>
            </w:r>
          </w:p>
        </w:tc>
        <w:tc>
          <w:tcPr>
            <w:tcW w:w="22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center"/>
              <w:ind w:left="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72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rPr>
              <w:t>225,000</w:t>
            </w:r>
          </w:p>
        </w:tc>
        <w:tc>
          <w:tcPr>
            <w:tcW w:w="120" w:type="dxa"/>
            <w:vAlign w:val="bottom"/>
            <w:shd w:val="clear" w:color="auto" w:fill="F2F2F2"/>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40" w:type="dxa"/>
            <w:vAlign w:val="bottom"/>
            <w:gridSpan w:val="2"/>
            <w:shd w:val="clear" w:color="auto" w:fill="F2F2F2"/>
          </w:tcPr>
          <w:p>
            <w:pPr>
              <w:jc w:val="right"/>
              <w:ind w:right="102"/>
              <w:spacing w:after="0"/>
              <w:rPr>
                <w:sz w:val="20"/>
                <w:szCs w:val="20"/>
                <w:color w:val="auto"/>
              </w:rPr>
            </w:pPr>
            <w:r>
              <w:rPr>
                <w:rFonts w:ascii="Arial" w:cs="Arial" w:eastAsia="Arial" w:hAnsi="Arial"/>
                <w:sz w:val="16"/>
                <w:szCs w:val="16"/>
                <w:color w:val="auto"/>
              </w:rPr>
              <w:t xml:space="preserve">1,125,000 </w:t>
            </w:r>
            <w:r>
              <w:rPr>
                <w:rFonts w:ascii="Arial" w:cs="Arial" w:eastAsia="Arial" w:hAnsi="Arial"/>
                <w:sz w:val="3"/>
                <w:szCs w:val="3"/>
                <w:color w:val="auto"/>
              </w:rPr>
              <w:t>​</w:t>
            </w:r>
          </w:p>
        </w:tc>
        <w:tc>
          <w:tcPr>
            <w:tcW w:w="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160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4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72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40" w:type="dxa"/>
            <w:vAlign w:val="bottom"/>
            <w:gridSpan w:val="2"/>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ind w:left="20"/>
              <w:spacing w:after="0"/>
              <w:rPr>
                <w:sz w:val="20"/>
                <w:szCs w:val="20"/>
                <w:color w:val="auto"/>
              </w:rPr>
            </w:pPr>
            <w:r>
              <w:rPr>
                <w:rFonts w:ascii="Arial" w:cs="Arial" w:eastAsia="Arial" w:hAnsi="Arial"/>
                <w:sz w:val="16"/>
                <w:szCs w:val="16"/>
                <w:color w:val="auto"/>
              </w:rPr>
              <w:t>Bart E. Volkmer</w:t>
            </w: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60"/>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720" w:type="dxa"/>
            <w:vAlign w:val="bottom"/>
          </w:tcPr>
          <w:p>
            <w:pPr>
              <w:jc w:val="center"/>
              <w:ind w:left="2"/>
              <w:spacing w:after="0"/>
              <w:rPr>
                <w:sz w:val="20"/>
                <w:szCs w:val="20"/>
                <w:color w:val="auto"/>
              </w:rPr>
            </w:pPr>
            <w:r>
              <w:rPr>
                <w:rFonts w:ascii="Arial" w:cs="Arial" w:eastAsia="Arial" w:hAnsi="Arial"/>
                <w:sz w:val="16"/>
                <w:szCs w:val="16"/>
                <w:color w:val="auto"/>
              </w:rPr>
              <w:t>115,781</w:t>
            </w:r>
          </w:p>
        </w:tc>
        <w:tc>
          <w:tcPr>
            <w:tcW w:w="12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308,750</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gridSpan w:val="2"/>
          </w:tcPr>
          <w:p>
            <w:pPr>
              <w:jc w:val="right"/>
              <w:ind w:right="102"/>
              <w:spacing w:after="0"/>
              <w:rPr>
                <w:sz w:val="20"/>
                <w:szCs w:val="20"/>
                <w:color w:val="auto"/>
              </w:rPr>
            </w:pPr>
            <w:r>
              <w:rPr>
                <w:rFonts w:ascii="Arial" w:cs="Arial" w:eastAsia="Arial" w:hAnsi="Arial"/>
                <w:sz w:val="16"/>
                <w:szCs w:val="16"/>
                <w:color w:val="auto"/>
              </w:rPr>
              <w:t xml:space="preserve">578,906 </w:t>
            </w:r>
            <w:r>
              <w:rPr>
                <w:rFonts w:ascii="Arial" w:cs="Arial" w:eastAsia="Arial" w:hAnsi="Arial"/>
                <w:sz w:val="3"/>
                <w:szCs w:val="3"/>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4/1/2022</w:t>
            </w:r>
          </w:p>
        </w:tc>
        <w:tc>
          <w:tcPr>
            <w:tcW w:w="14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60"/>
              <w:spacing w:after="0"/>
              <w:rPr>
                <w:sz w:val="20"/>
                <w:szCs w:val="20"/>
                <w:color w:val="auto"/>
              </w:rPr>
            </w:pPr>
            <w:r>
              <w:rPr>
                <w:rFonts w:ascii="Arial" w:cs="Arial" w:eastAsia="Arial" w:hAnsi="Arial"/>
                <w:sz w:val="16"/>
                <w:szCs w:val="16"/>
                <w:color w:val="auto"/>
              </w:rPr>
              <w:t>3/2/2022</w:t>
            </w:r>
          </w:p>
        </w:tc>
        <w:tc>
          <w:tcPr>
            <w:tcW w:w="16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720" w:type="dxa"/>
            <w:vAlign w:val="bottom"/>
          </w:tcPr>
          <w:p>
            <w:pPr>
              <w:jc w:val="center"/>
              <w:ind w:left="2"/>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ind w:right="34"/>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gridSpan w:val="2"/>
          </w:tcPr>
          <w:p>
            <w:pPr>
              <w:jc w:val="right"/>
              <w:ind w:right="62"/>
              <w:spacing w:after="0"/>
              <w:rPr>
                <w:sz w:val="20"/>
                <w:szCs w:val="20"/>
                <w:color w:val="auto"/>
              </w:rPr>
            </w:pPr>
            <w:r>
              <w:rPr>
                <w:rFonts w:ascii="Arial" w:cs="Arial" w:eastAsia="Arial" w:hAnsi="Arial"/>
                <w:sz w:val="16"/>
                <w:szCs w:val="16"/>
                <w:color w:val="auto"/>
              </w:rPr>
              <w:t xml:space="preserve">134,558 </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20" w:type="dxa"/>
            <w:vAlign w:val="bottom"/>
          </w:tcPr>
          <w:p>
            <w:pPr>
              <w:jc w:val="center"/>
              <w:spacing w:after="0"/>
              <w:rPr>
                <w:sz w:val="20"/>
                <w:szCs w:val="20"/>
                <w:color w:val="auto"/>
              </w:rPr>
            </w:pPr>
            <w:r>
              <w:rPr>
                <w:rFonts w:ascii="Arial" w:cs="Arial" w:eastAsia="Arial" w:hAnsi="Arial"/>
                <w:sz w:val="16"/>
                <w:szCs w:val="16"/>
                <w:color w:val="auto"/>
              </w:rPr>
              <w:t>3,128,474</w:t>
            </w:r>
          </w:p>
        </w:tc>
        <w:tc>
          <w:tcPr>
            <w:tcW w:w="12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44" w:right="140" w:hanging="244"/>
        <w:spacing w:after="0" w:line="201" w:lineRule="auto"/>
        <w:tabs>
          <w:tab w:leader="none" w:pos="244"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Each of these grants were made pursuant to our 2022 Cash Bonus Plan, as described in greater detail under “</w:t>
      </w:r>
      <w:r>
        <w:rPr>
          <w:rFonts w:ascii="Arial" w:cs="Arial" w:eastAsia="Arial" w:hAnsi="Arial"/>
          <w:sz w:val="14"/>
          <w:szCs w:val="14"/>
          <w:i w:val="1"/>
          <w:iCs w:val="1"/>
          <w:color w:val="auto"/>
        </w:rPr>
        <w:t>Compensation Elements – 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Bonuses</w:t>
      </w:r>
      <w:r>
        <w:rPr>
          <w:rFonts w:ascii="Arial" w:cs="Arial" w:eastAsia="Arial" w:hAnsi="Arial"/>
          <w:sz w:val="14"/>
          <w:szCs w:val="14"/>
          <w:color w:val="auto"/>
        </w:rPr>
        <w:t>” above.</w:t>
      </w:r>
    </w:p>
    <w:p>
      <w:pPr>
        <w:spacing w:after="0" w:line="18" w:lineRule="exact"/>
        <w:rPr>
          <w:rFonts w:ascii="Arial" w:cs="Arial" w:eastAsia="Arial" w:hAnsi="Arial"/>
          <w:sz w:val="22"/>
          <w:szCs w:val="22"/>
          <w:color w:val="auto"/>
          <w:vertAlign w:val="superscript"/>
        </w:rPr>
      </w:pPr>
    </w:p>
    <w:p>
      <w:pPr>
        <w:ind w:left="244" w:right="140" w:hanging="244"/>
        <w:spacing w:after="0" w:line="193" w:lineRule="auto"/>
        <w:tabs>
          <w:tab w:leader="none" w:pos="244"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Amounts reported represent the aggregate grant-date fair value of the RSAs based on the closing price for a share of our Class A common stock as reported by Nasdaq on the day immediately preceding the grant date, calculated in accordance with ASC Topic 718.</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4" w:name="page55"/>
    <w:bookmarkEnd w:id="54"/>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ind w:left="4"/>
        <w:spacing w:after="0"/>
        <w:rPr>
          <w:sz w:val="20"/>
          <w:szCs w:val="20"/>
          <w:color w:val="auto"/>
        </w:rPr>
      </w:pPr>
      <w:r>
        <w:rPr>
          <w:rFonts w:ascii="Arial" w:cs="Arial" w:eastAsia="Arial" w:hAnsi="Arial"/>
          <w:sz w:val="26"/>
          <w:szCs w:val="26"/>
          <w:color w:val="0063A6"/>
        </w:rPr>
        <w:t>Outstanding Equity Awards at 2022 Year-End</w:t>
      </w:r>
    </w:p>
    <w:p>
      <w:pPr>
        <w:spacing w:after="0" w:line="169" w:lineRule="exact"/>
        <w:rPr>
          <w:sz w:val="20"/>
          <w:szCs w:val="20"/>
          <w:color w:val="auto"/>
        </w:rPr>
      </w:pPr>
    </w:p>
    <w:p>
      <w:pPr>
        <w:ind w:left="4" w:right="940"/>
        <w:spacing w:after="0" w:line="260"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077585" cy="3909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7585" cy="3909060"/>
                    </a:xfrm>
                    <a:prstGeom prst="rect">
                      <a:avLst/>
                    </a:prstGeom>
                    <a:noFill/>
                  </pic:spPr>
                </pic:pic>
              </a:graphicData>
            </a:graphic>
          </wp:anchor>
        </w:drawing>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40" w:type="dxa"/>
            <w:vAlign w:val="bottom"/>
            <w:shd w:val="clear" w:color="auto" w:fill="0063A6"/>
          </w:tcPr>
          <w:p>
            <w:pPr>
              <w:spacing w:after="0"/>
              <w:rPr>
                <w:sz w:val="18"/>
                <w:szCs w:val="18"/>
                <w:color w:val="auto"/>
              </w:rPr>
            </w:pPr>
          </w:p>
        </w:tc>
        <w:tc>
          <w:tcPr>
            <w:tcW w:w="160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80" w:type="dxa"/>
            <w:vAlign w:val="bottom"/>
            <w:shd w:val="clear" w:color="auto" w:fill="0063A6"/>
          </w:tcPr>
          <w:p>
            <w:pPr>
              <w:spacing w:after="0"/>
              <w:rPr>
                <w:sz w:val="18"/>
                <w:szCs w:val="18"/>
                <w:color w:val="auto"/>
              </w:rPr>
            </w:pPr>
          </w:p>
        </w:tc>
        <w:tc>
          <w:tcPr>
            <w:tcW w:w="1200" w:type="dxa"/>
            <w:vAlign w:val="bottom"/>
            <w:shd w:val="clear" w:color="auto" w:fill="0063A6"/>
          </w:tcPr>
          <w:p>
            <w:pPr>
              <w:spacing w:after="0"/>
              <w:rPr>
                <w:sz w:val="18"/>
                <w:szCs w:val="18"/>
                <w:color w:val="auto"/>
              </w:rPr>
            </w:pP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2020" w:type="dxa"/>
            <w:vAlign w:val="bottom"/>
            <w:gridSpan w:val="4"/>
            <w:shd w:val="clear" w:color="auto" w:fill="0063A6"/>
          </w:tcPr>
          <w:p>
            <w:pPr>
              <w:ind w:left="540"/>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0063A6"/>
          </w:tcPr>
          <w:p>
            <w:pPr>
              <w:spacing w:after="0"/>
              <w:rPr>
                <w:sz w:val="18"/>
                <w:szCs w:val="18"/>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760" w:type="dxa"/>
            <w:vAlign w:val="bottom"/>
            <w:shd w:val="clear" w:color="auto" w:fill="0063A6"/>
          </w:tcPr>
          <w:p>
            <w:pPr>
              <w:spacing w:after="0"/>
              <w:rPr>
                <w:sz w:val="18"/>
                <w:szCs w:val="18"/>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2240" w:type="dxa"/>
            <w:vAlign w:val="bottom"/>
            <w:gridSpan w:val="4"/>
            <w:shd w:val="clear" w:color="auto" w:fill="0063A6"/>
          </w:tcPr>
          <w:p>
            <w:pPr>
              <w:jc w:val="right"/>
              <w:ind w:right="562"/>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shd w:val="clear" w:color="auto" w:fill="0063A6"/>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68"/>
        </w:trPr>
        <w:tc>
          <w:tcPr>
            <w:tcW w:w="40" w:type="dxa"/>
            <w:vAlign w:val="bottom"/>
            <w:shd w:val="clear" w:color="auto" w:fill="0063A6"/>
          </w:tcPr>
          <w:p>
            <w:pPr>
              <w:spacing w:after="0"/>
              <w:rPr>
                <w:sz w:val="24"/>
                <w:szCs w:val="24"/>
                <w:color w:val="auto"/>
              </w:rPr>
            </w:pPr>
          </w:p>
        </w:tc>
        <w:tc>
          <w:tcPr>
            <w:tcW w:w="1600" w:type="dxa"/>
            <w:vAlign w:val="bottom"/>
            <w:shd w:val="clear" w:color="auto" w:fill="0063A6"/>
          </w:tcPr>
          <w:p>
            <w:pPr>
              <w:spacing w:after="0"/>
              <w:rPr>
                <w:sz w:val="24"/>
                <w:szCs w:val="24"/>
                <w:color w:val="auto"/>
              </w:rPr>
            </w:pPr>
          </w:p>
        </w:tc>
        <w:tc>
          <w:tcPr>
            <w:tcW w:w="220" w:type="dxa"/>
            <w:vAlign w:val="bottom"/>
            <w:shd w:val="clear" w:color="auto" w:fill="0063A6"/>
          </w:tcPr>
          <w:p>
            <w:pPr>
              <w:spacing w:after="0"/>
              <w:rPr>
                <w:sz w:val="24"/>
                <w:szCs w:val="24"/>
                <w:color w:val="auto"/>
              </w:rPr>
            </w:pPr>
          </w:p>
        </w:tc>
        <w:tc>
          <w:tcPr>
            <w:tcW w:w="80" w:type="dxa"/>
            <w:vAlign w:val="bottom"/>
            <w:shd w:val="clear" w:color="auto" w:fill="0063A6"/>
          </w:tcPr>
          <w:p>
            <w:pPr>
              <w:spacing w:after="0"/>
              <w:rPr>
                <w:sz w:val="24"/>
                <w:szCs w:val="24"/>
                <w:color w:val="auto"/>
              </w:rPr>
            </w:pPr>
          </w:p>
        </w:tc>
        <w:tc>
          <w:tcPr>
            <w:tcW w:w="120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0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640" w:type="dxa"/>
            <w:vAlign w:val="bottom"/>
            <w:shd w:val="clear" w:color="auto" w:fill="0063A6"/>
          </w:tcPr>
          <w:p>
            <w:pPr>
              <w:spacing w:after="0"/>
              <w:rPr>
                <w:sz w:val="24"/>
                <w:szCs w:val="24"/>
                <w:color w:val="auto"/>
              </w:rPr>
            </w:pPr>
          </w:p>
        </w:tc>
        <w:tc>
          <w:tcPr>
            <w:tcW w:w="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760" w:type="dxa"/>
            <w:vAlign w:val="bottom"/>
            <w:shd w:val="clear" w:color="auto" w:fill="0063A6"/>
          </w:tcPr>
          <w:p>
            <w:pPr>
              <w:spacing w:after="0"/>
              <w:rPr>
                <w:sz w:val="24"/>
                <w:szCs w:val="24"/>
                <w:color w:val="auto"/>
              </w:rPr>
            </w:pPr>
          </w:p>
        </w:tc>
        <w:tc>
          <w:tcPr>
            <w:tcW w:w="60" w:type="dxa"/>
            <w:vAlign w:val="bottom"/>
            <w:shd w:val="clear" w:color="auto" w:fill="0063A6"/>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0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9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1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0063A6"/>
          </w:tcPr>
          <w:p>
            <w:pPr>
              <w:spacing w:after="0"/>
              <w:rPr>
                <w:sz w:val="13"/>
                <w:szCs w:val="13"/>
                <w:color w:val="auto"/>
              </w:rPr>
            </w:pPr>
          </w:p>
        </w:tc>
        <w:tc>
          <w:tcPr>
            <w:tcW w:w="22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8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200" w:type="dxa"/>
            <w:vAlign w:val="bottom"/>
            <w:shd w:val="clear" w:color="auto" w:fill="0063A6"/>
          </w:tcPr>
          <w:p>
            <w:pPr>
              <w:jc w:val="right"/>
              <w:ind w:right="4"/>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spacing w:after="0"/>
              <w:rPr>
                <w:sz w:val="13"/>
                <w:szCs w:val="13"/>
                <w:color w:val="auto"/>
              </w:rPr>
            </w:pPr>
          </w:p>
        </w:tc>
        <w:tc>
          <w:tcPr>
            <w:tcW w:w="88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Securities</w:t>
            </w:r>
          </w:p>
        </w:tc>
        <w:tc>
          <w:tcPr>
            <w:tcW w:w="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98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Securities</w:t>
            </w:r>
          </w:p>
        </w:tc>
        <w:tc>
          <w:tcPr>
            <w:tcW w:w="10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64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spacing w:after="0"/>
              <w:rPr>
                <w:sz w:val="13"/>
                <w:szCs w:val="13"/>
                <w:color w:val="auto"/>
              </w:rPr>
            </w:pPr>
          </w:p>
        </w:tc>
        <w:tc>
          <w:tcPr>
            <w:tcW w:w="60" w:type="dxa"/>
            <w:vAlign w:val="bottom"/>
            <w:shd w:val="clear" w:color="auto" w:fill="0063A6"/>
          </w:tcPr>
          <w:p>
            <w:pPr>
              <w:spacing w:after="0"/>
              <w:rPr>
                <w:sz w:val="13"/>
                <w:szCs w:val="13"/>
                <w:color w:val="auto"/>
              </w:rPr>
            </w:pPr>
          </w:p>
        </w:tc>
        <w:tc>
          <w:tcPr>
            <w:tcW w:w="120" w:type="dxa"/>
            <w:vAlign w:val="bottom"/>
            <w:shd w:val="clear" w:color="auto" w:fill="0063A6"/>
          </w:tcPr>
          <w:p>
            <w:pPr>
              <w:spacing w:after="0"/>
              <w:rPr>
                <w:sz w:val="13"/>
                <w:szCs w:val="13"/>
                <w:color w:val="auto"/>
              </w:rPr>
            </w:pPr>
          </w:p>
        </w:tc>
        <w:tc>
          <w:tcPr>
            <w:tcW w:w="106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Number of</w:t>
            </w:r>
          </w:p>
        </w:tc>
        <w:tc>
          <w:tcPr>
            <w:tcW w:w="10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980" w:type="dxa"/>
            <w:vAlign w:val="bottom"/>
            <w:vMerge w:val="continue"/>
            <w:shd w:val="clear" w:color="auto" w:fill="0063A6"/>
          </w:tcPr>
          <w:p>
            <w:pPr>
              <w:spacing w:after="0"/>
              <w:rPr>
                <w:sz w:val="13"/>
                <w:szCs w:val="13"/>
                <w:color w:val="auto"/>
              </w:rPr>
            </w:pPr>
          </w:p>
        </w:tc>
        <w:tc>
          <w:tcPr>
            <w:tcW w:w="1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3A6"/>
          </w:tcPr>
          <w:p>
            <w:pPr>
              <w:spacing w:after="0"/>
              <w:rPr>
                <w:sz w:val="14"/>
                <w:szCs w:val="14"/>
                <w:color w:val="auto"/>
              </w:rPr>
            </w:pPr>
          </w:p>
        </w:tc>
        <w:tc>
          <w:tcPr>
            <w:tcW w:w="1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76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or</w:t>
            </w:r>
          </w:p>
        </w:tc>
        <w:tc>
          <w:tcPr>
            <w:tcW w:w="100" w:type="dxa"/>
            <w:vAlign w:val="bottom"/>
            <w:shd w:val="clear" w:color="auto" w:fill="0063A6"/>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of shares or</w:t>
            </w:r>
          </w:p>
        </w:tc>
        <w:tc>
          <w:tcPr>
            <w:tcW w:w="120" w:type="dxa"/>
            <w:vAlign w:val="bottom"/>
            <w:shd w:val="clear" w:color="auto" w:fill="0063A6"/>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57"/>
        </w:trPr>
        <w:tc>
          <w:tcPr>
            <w:tcW w:w="40" w:type="dxa"/>
            <w:vAlign w:val="bottom"/>
            <w:shd w:val="clear" w:color="auto" w:fill="0063A6"/>
          </w:tcPr>
          <w:p>
            <w:pPr>
              <w:spacing w:after="0"/>
              <w:rPr>
                <w:sz w:val="13"/>
                <w:szCs w:val="13"/>
                <w:color w:val="auto"/>
              </w:rPr>
            </w:pPr>
          </w:p>
        </w:tc>
        <w:tc>
          <w:tcPr>
            <w:tcW w:w="1600" w:type="dxa"/>
            <w:vAlign w:val="bottom"/>
            <w:shd w:val="clear" w:color="auto" w:fill="0063A6"/>
          </w:tcPr>
          <w:p>
            <w:pPr>
              <w:spacing w:after="0"/>
              <w:rPr>
                <w:sz w:val="13"/>
                <w:szCs w:val="13"/>
                <w:color w:val="auto"/>
              </w:rPr>
            </w:pPr>
          </w:p>
        </w:tc>
        <w:tc>
          <w:tcPr>
            <w:tcW w:w="220" w:type="dxa"/>
            <w:vAlign w:val="bottom"/>
            <w:shd w:val="clear" w:color="auto" w:fill="0063A6"/>
          </w:tcPr>
          <w:p>
            <w:pPr>
              <w:spacing w:after="0"/>
              <w:rPr>
                <w:sz w:val="13"/>
                <w:szCs w:val="13"/>
                <w:color w:val="auto"/>
              </w:rPr>
            </w:pPr>
          </w:p>
        </w:tc>
        <w:tc>
          <w:tcPr>
            <w:tcW w:w="80" w:type="dxa"/>
            <w:vAlign w:val="bottom"/>
            <w:shd w:val="clear" w:color="auto" w:fill="0063A6"/>
          </w:tcPr>
          <w:p>
            <w:pPr>
              <w:spacing w:after="0"/>
              <w:rPr>
                <w:sz w:val="13"/>
                <w:szCs w:val="13"/>
                <w:color w:val="auto"/>
              </w:rPr>
            </w:pPr>
          </w:p>
        </w:tc>
        <w:tc>
          <w:tcPr>
            <w:tcW w:w="120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88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Unexercised</w:t>
            </w:r>
          </w:p>
        </w:tc>
        <w:tc>
          <w:tcPr>
            <w:tcW w:w="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98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Unexercised</w:t>
            </w:r>
          </w:p>
        </w:tc>
        <w:tc>
          <w:tcPr>
            <w:tcW w:w="10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64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6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76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60" w:type="dxa"/>
            <w:vAlign w:val="bottom"/>
            <w:shd w:val="clear" w:color="auto" w:fill="0063A6"/>
          </w:tcPr>
          <w:p>
            <w:pPr>
              <w:spacing w:after="0"/>
              <w:rPr>
                <w:sz w:val="13"/>
                <w:szCs w:val="13"/>
                <w:color w:val="auto"/>
              </w:rPr>
            </w:pPr>
          </w:p>
        </w:tc>
        <w:tc>
          <w:tcPr>
            <w:tcW w:w="120" w:type="dxa"/>
            <w:vAlign w:val="bottom"/>
            <w:shd w:val="clear" w:color="auto" w:fill="0063A6"/>
          </w:tcPr>
          <w:p>
            <w:pPr>
              <w:spacing w:after="0"/>
              <w:rPr>
                <w:sz w:val="13"/>
                <w:szCs w:val="13"/>
                <w:color w:val="auto"/>
              </w:rPr>
            </w:pPr>
          </w:p>
        </w:tc>
        <w:tc>
          <w:tcPr>
            <w:tcW w:w="106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units of stock</w:t>
            </w:r>
          </w:p>
        </w:tc>
        <w:tc>
          <w:tcPr>
            <w:tcW w:w="100" w:type="dxa"/>
            <w:vAlign w:val="bottom"/>
            <w:shd w:val="clear" w:color="auto" w:fill="0063A6"/>
          </w:tcPr>
          <w:p>
            <w:pPr>
              <w:spacing w:after="0"/>
              <w:rPr>
                <w:sz w:val="13"/>
                <w:szCs w:val="13"/>
                <w:color w:val="auto"/>
              </w:rPr>
            </w:pPr>
          </w:p>
        </w:tc>
        <w:tc>
          <w:tcPr>
            <w:tcW w:w="100" w:type="dxa"/>
            <w:vAlign w:val="bottom"/>
            <w:shd w:val="clear" w:color="auto" w:fill="0063A6"/>
          </w:tcPr>
          <w:p>
            <w:pPr>
              <w:spacing w:after="0"/>
              <w:rPr>
                <w:sz w:val="13"/>
                <w:szCs w:val="13"/>
                <w:color w:val="auto"/>
              </w:rPr>
            </w:pPr>
          </w:p>
        </w:tc>
        <w:tc>
          <w:tcPr>
            <w:tcW w:w="98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units of stock</w:t>
            </w:r>
          </w:p>
        </w:tc>
        <w:tc>
          <w:tcPr>
            <w:tcW w:w="1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3A6"/>
          </w:tcPr>
          <w:p>
            <w:pPr>
              <w:spacing w:after="0"/>
              <w:rPr>
                <w:sz w:val="14"/>
                <w:szCs w:val="14"/>
                <w:color w:val="auto"/>
              </w:rPr>
            </w:pPr>
          </w:p>
        </w:tc>
        <w:tc>
          <w:tcPr>
            <w:tcW w:w="160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6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0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6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w:t>
            </w:r>
          </w:p>
        </w:tc>
        <w:tc>
          <w:tcPr>
            <w:tcW w:w="6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Expiration</w:t>
            </w:r>
          </w:p>
        </w:tc>
        <w:tc>
          <w:tcPr>
            <w:tcW w:w="60" w:type="dxa"/>
            <w:vAlign w:val="bottom"/>
            <w:shd w:val="clear" w:color="auto" w:fill="0063A6"/>
          </w:tcPr>
          <w:p>
            <w:pPr>
              <w:spacing w:after="0"/>
              <w:rPr>
                <w:sz w:val="14"/>
                <w:szCs w:val="14"/>
                <w:color w:val="auto"/>
              </w:rPr>
            </w:pPr>
          </w:p>
        </w:tc>
        <w:tc>
          <w:tcPr>
            <w:tcW w:w="12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that have not</w:t>
            </w:r>
          </w:p>
        </w:tc>
        <w:tc>
          <w:tcPr>
            <w:tcW w:w="10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that have not</w:t>
            </w:r>
          </w:p>
        </w:tc>
        <w:tc>
          <w:tcPr>
            <w:tcW w:w="1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0063A6"/>
          </w:tcPr>
          <w:p>
            <w:pPr>
              <w:spacing w:after="0"/>
              <w:rPr>
                <w:sz w:val="23"/>
                <w:szCs w:val="23"/>
                <w:color w:val="auto"/>
              </w:rPr>
            </w:pPr>
          </w:p>
        </w:tc>
        <w:tc>
          <w:tcPr>
            <w:tcW w:w="1600" w:type="dxa"/>
            <w:vAlign w:val="bottom"/>
            <w:shd w:val="clear" w:color="auto" w:fill="0063A6"/>
          </w:tcPr>
          <w:p>
            <w:pPr>
              <w:ind w:left="660"/>
              <w:spacing w:after="0"/>
              <w:rPr>
                <w:sz w:val="20"/>
                <w:szCs w:val="20"/>
                <w:color w:val="auto"/>
              </w:rPr>
            </w:pPr>
            <w:r>
              <w:rPr>
                <w:rFonts w:ascii="Arial" w:cs="Arial" w:eastAsia="Arial" w:hAnsi="Arial"/>
                <w:sz w:val="14"/>
                <w:szCs w:val="14"/>
                <w:b w:val="1"/>
                <w:bCs w:val="1"/>
                <w:color w:val="FFFFFF"/>
              </w:rPr>
              <w:t>Name</w:t>
            </w:r>
          </w:p>
        </w:tc>
        <w:tc>
          <w:tcPr>
            <w:tcW w:w="220" w:type="dxa"/>
            <w:vAlign w:val="bottom"/>
            <w:shd w:val="clear" w:color="auto" w:fill="0063A6"/>
          </w:tcPr>
          <w:p>
            <w:pPr>
              <w:spacing w:after="0"/>
              <w:rPr>
                <w:sz w:val="23"/>
                <w:szCs w:val="23"/>
                <w:color w:val="auto"/>
              </w:rPr>
            </w:pPr>
          </w:p>
        </w:tc>
        <w:tc>
          <w:tcPr>
            <w:tcW w:w="80" w:type="dxa"/>
            <w:vAlign w:val="bottom"/>
            <w:shd w:val="clear" w:color="auto" w:fill="0063A6"/>
          </w:tcPr>
          <w:p>
            <w:pPr>
              <w:spacing w:after="0"/>
              <w:rPr>
                <w:sz w:val="23"/>
                <w:szCs w:val="23"/>
                <w:color w:val="auto"/>
              </w:rPr>
            </w:pPr>
          </w:p>
        </w:tc>
        <w:tc>
          <w:tcPr>
            <w:tcW w:w="1200" w:type="dxa"/>
            <w:vAlign w:val="bottom"/>
            <w:shd w:val="clear" w:color="auto" w:fill="0063A6"/>
          </w:tcPr>
          <w:p>
            <w:pPr>
              <w:jc w:val="right"/>
              <w:ind w:right="204"/>
              <w:spacing w:after="0"/>
              <w:rPr>
                <w:sz w:val="20"/>
                <w:szCs w:val="20"/>
                <w:color w:val="auto"/>
              </w:rPr>
            </w:pPr>
            <w:r>
              <w:rPr>
                <w:rFonts w:ascii="Arial" w:cs="Arial" w:eastAsia="Arial" w:hAnsi="Arial"/>
                <w:sz w:val="14"/>
                <w:szCs w:val="14"/>
                <w:b w:val="1"/>
                <w:bCs w:val="1"/>
                <w:color w:val="FFFFFF"/>
              </w:rPr>
              <w:t>Grant date</w:t>
            </w:r>
          </w:p>
        </w:tc>
        <w:tc>
          <w:tcPr>
            <w:tcW w:w="100" w:type="dxa"/>
            <w:vAlign w:val="bottom"/>
            <w:shd w:val="clear" w:color="auto" w:fill="0063A6"/>
          </w:tcPr>
          <w:p>
            <w:pPr>
              <w:spacing w:after="0"/>
              <w:rPr>
                <w:sz w:val="23"/>
                <w:szCs w:val="23"/>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60" w:type="dxa"/>
            <w:vAlign w:val="bottom"/>
            <w:shd w:val="clear" w:color="auto" w:fill="0063A6"/>
          </w:tcPr>
          <w:p>
            <w:pPr>
              <w:spacing w:after="0"/>
              <w:rPr>
                <w:sz w:val="23"/>
                <w:szCs w:val="23"/>
                <w:color w:val="auto"/>
              </w:rPr>
            </w:pPr>
          </w:p>
        </w:tc>
        <w:tc>
          <w:tcPr>
            <w:tcW w:w="100" w:type="dxa"/>
            <w:vAlign w:val="bottom"/>
            <w:shd w:val="clear" w:color="auto" w:fill="0063A6"/>
          </w:tcPr>
          <w:p>
            <w:pPr>
              <w:spacing w:after="0"/>
              <w:rPr>
                <w:sz w:val="23"/>
                <w:szCs w:val="23"/>
                <w:color w:val="auto"/>
              </w:rPr>
            </w:pPr>
          </w:p>
        </w:tc>
        <w:tc>
          <w:tcPr>
            <w:tcW w:w="1820" w:type="dxa"/>
            <w:vAlign w:val="bottom"/>
            <w:gridSpan w:val="4"/>
            <w:shd w:val="clear" w:color="auto" w:fill="0063A6"/>
          </w:tcPr>
          <w:p>
            <w:pPr>
              <w:ind w:left="40"/>
              <w:spacing w:after="0"/>
              <w:rPr>
                <w:sz w:val="20"/>
                <w:szCs w:val="20"/>
                <w:color w:val="auto"/>
              </w:rPr>
            </w:pPr>
            <w:r>
              <w:rPr>
                <w:rFonts w:ascii="Arial" w:cs="Arial" w:eastAsia="Arial" w:hAnsi="Arial"/>
                <w:sz w:val="14"/>
                <w:szCs w:val="14"/>
                <w:b w:val="1"/>
                <w:bCs w:val="1"/>
                <w:color w:val="FFFFFF"/>
              </w:rPr>
              <w:t>Unexercisable   Price ($)</w:t>
            </w:r>
          </w:p>
        </w:tc>
        <w:tc>
          <w:tcPr>
            <w:tcW w:w="60" w:type="dxa"/>
            <w:vAlign w:val="bottom"/>
            <w:shd w:val="clear" w:color="auto" w:fill="0063A6"/>
          </w:tcPr>
          <w:p>
            <w:pPr>
              <w:spacing w:after="0"/>
              <w:rPr>
                <w:sz w:val="23"/>
                <w:szCs w:val="23"/>
                <w:color w:val="auto"/>
              </w:rPr>
            </w:pPr>
          </w:p>
        </w:tc>
        <w:tc>
          <w:tcPr>
            <w:tcW w:w="100" w:type="dxa"/>
            <w:vAlign w:val="bottom"/>
            <w:shd w:val="clear" w:color="auto" w:fill="0063A6"/>
          </w:tcPr>
          <w:p>
            <w:pPr>
              <w:spacing w:after="0"/>
              <w:rPr>
                <w:sz w:val="23"/>
                <w:szCs w:val="23"/>
                <w:color w:val="auto"/>
              </w:rPr>
            </w:pPr>
          </w:p>
        </w:tc>
        <w:tc>
          <w:tcPr>
            <w:tcW w:w="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Date</w:t>
            </w:r>
          </w:p>
        </w:tc>
        <w:tc>
          <w:tcPr>
            <w:tcW w:w="60" w:type="dxa"/>
            <w:vAlign w:val="bottom"/>
            <w:shd w:val="clear" w:color="auto" w:fill="0063A6"/>
          </w:tcPr>
          <w:p>
            <w:pPr>
              <w:spacing w:after="0"/>
              <w:rPr>
                <w:sz w:val="23"/>
                <w:szCs w:val="23"/>
                <w:color w:val="auto"/>
              </w:rPr>
            </w:pPr>
          </w:p>
        </w:tc>
        <w:tc>
          <w:tcPr>
            <w:tcW w:w="120" w:type="dxa"/>
            <w:vAlign w:val="bottom"/>
            <w:shd w:val="clear" w:color="auto" w:fill="0063A6"/>
          </w:tcPr>
          <w:p>
            <w:pPr>
              <w:spacing w:after="0"/>
              <w:rPr>
                <w:sz w:val="23"/>
                <w:szCs w:val="23"/>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vested</w:t>
            </w:r>
          </w:p>
        </w:tc>
        <w:tc>
          <w:tcPr>
            <w:tcW w:w="100" w:type="dxa"/>
            <w:vAlign w:val="bottom"/>
            <w:shd w:val="clear" w:color="auto" w:fill="0063A6"/>
          </w:tcPr>
          <w:p>
            <w:pPr>
              <w:spacing w:after="0"/>
              <w:rPr>
                <w:sz w:val="23"/>
                <w:szCs w:val="23"/>
                <w:color w:val="auto"/>
              </w:rPr>
            </w:pPr>
          </w:p>
        </w:tc>
        <w:tc>
          <w:tcPr>
            <w:tcW w:w="100" w:type="dxa"/>
            <w:vAlign w:val="bottom"/>
            <w:shd w:val="clear" w:color="auto" w:fill="0063A6"/>
          </w:tcPr>
          <w:p>
            <w:pPr>
              <w:spacing w:after="0"/>
              <w:rPr>
                <w:sz w:val="23"/>
                <w:szCs w:val="23"/>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23"/>
                <w:szCs w:val="23"/>
                <w:b w:val="1"/>
                <w:bCs w:val="1"/>
                <w:color w:val="FFFFFF"/>
                <w:w w:val="97"/>
                <w:vertAlign w:val="superscript"/>
              </w:rPr>
              <w:t>(1)</w:t>
            </w:r>
          </w:p>
        </w:tc>
        <w:tc>
          <w:tcPr>
            <w:tcW w:w="12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200" w:type="dxa"/>
            <w:vAlign w:val="bottom"/>
            <w:shd w:val="clear" w:color="auto" w:fill="F2F2F2"/>
          </w:tcPr>
          <w:p>
            <w:pPr>
              <w:jc w:val="right"/>
              <w:ind w:right="4"/>
              <w:spacing w:after="0"/>
              <w:rPr>
                <w:sz w:val="20"/>
                <w:szCs w:val="20"/>
                <w:color w:val="auto"/>
              </w:rPr>
            </w:pPr>
            <w:r>
              <w:rPr>
                <w:rFonts w:ascii="Arial" w:cs="Arial" w:eastAsia="Arial" w:hAnsi="Arial"/>
                <w:sz w:val="16"/>
                <w:szCs w:val="16"/>
                <w:color w:val="auto"/>
              </w:rPr>
              <w:t>12/12/17</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6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8,266,666</w:t>
            </w:r>
          </w:p>
        </w:tc>
        <w:tc>
          <w:tcPr>
            <w:tcW w:w="10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00" w:type="dxa"/>
            <w:vAlign w:val="bottom"/>
            <w:gridSpan w:val="2"/>
            <w:shd w:val="clear" w:color="auto" w:fill="F2F2F2"/>
          </w:tcPr>
          <w:p>
            <w:pPr>
              <w:jc w:val="right"/>
              <w:ind w:right="91"/>
              <w:spacing w:after="0"/>
              <w:rPr>
                <w:sz w:val="20"/>
                <w:szCs w:val="20"/>
                <w:color w:val="auto"/>
              </w:rPr>
            </w:pPr>
            <w:r>
              <w:rPr>
                <w:rFonts w:ascii="Arial" w:cs="Arial" w:eastAsia="Arial" w:hAnsi="Arial"/>
                <w:sz w:val="16"/>
                <w:szCs w:val="16"/>
                <w:color w:val="auto"/>
              </w:rPr>
              <w:t xml:space="preserve">185,007,985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3,066</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gridSpan w:val="2"/>
          </w:tcPr>
          <w:p>
            <w:pPr>
              <w:jc w:val="right"/>
              <w:ind w:right="91"/>
              <w:spacing w:after="0"/>
              <w:rPr>
                <w:sz w:val="20"/>
                <w:szCs w:val="20"/>
                <w:color w:val="auto"/>
              </w:rPr>
            </w:pPr>
            <w:r>
              <w:rPr>
                <w:rFonts w:ascii="Arial" w:cs="Arial" w:eastAsia="Arial" w:hAnsi="Arial"/>
                <w:sz w:val="16"/>
                <w:szCs w:val="16"/>
                <w:color w:val="auto"/>
              </w:rPr>
              <w:t xml:space="preserve">68,617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17,428</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390,039</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10/1/2020</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88,275</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1,975,595</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4/1/2021</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98,554</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2,205,639</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57"/>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4/1/2022</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163,993</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3,670,163</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58"/>
        </w:trPr>
        <w:tc>
          <w:tcPr>
            <w:tcW w:w="40" w:type="dxa"/>
            <w:vAlign w:val="bottom"/>
            <w:shd w:val="clear" w:color="auto" w:fill="F2F2F2"/>
          </w:tcPr>
          <w:p>
            <w:pPr>
              <w:spacing w:after="0"/>
              <w:rPr>
                <w:sz w:val="24"/>
                <w:szCs w:val="24"/>
                <w:color w:val="auto"/>
              </w:rPr>
            </w:pP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Young</w:t>
            </w:r>
          </w:p>
        </w:tc>
        <w:tc>
          <w:tcPr>
            <w:tcW w:w="220" w:type="dxa"/>
            <w:vAlign w:val="bottom"/>
            <w:shd w:val="clear" w:color="auto" w:fill="F2F2F2"/>
          </w:tcPr>
          <w:p>
            <w:pPr>
              <w:spacing w:after="0"/>
              <w:rPr>
                <w:sz w:val="24"/>
                <w:szCs w:val="24"/>
                <w:color w:val="auto"/>
              </w:rPr>
            </w:pPr>
          </w:p>
        </w:tc>
        <w:tc>
          <w:tcPr>
            <w:tcW w:w="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200" w:type="dxa"/>
            <w:vAlign w:val="bottom"/>
            <w:shd w:val="clear" w:color="auto" w:fill="F2F2F2"/>
          </w:tcPr>
          <w:p>
            <w:pPr>
              <w:jc w:val="right"/>
              <w:ind w:right="4"/>
              <w:spacing w:after="0"/>
              <w:rPr>
                <w:sz w:val="20"/>
                <w:szCs w:val="20"/>
                <w:color w:val="auto"/>
              </w:rPr>
            </w:pPr>
            <w:r>
              <w:rPr>
                <w:rFonts w:ascii="Arial" w:cs="Arial" w:eastAsia="Arial" w:hAnsi="Arial"/>
                <w:sz w:val="16"/>
                <w:szCs w:val="16"/>
                <w:color w:val="auto"/>
              </w:rPr>
              <w:t>11/1/2019</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60" w:type="dxa"/>
            <w:vAlign w:val="bottom"/>
            <w:shd w:val="clear" w:color="auto" w:fill="F2F2F2"/>
          </w:tcPr>
          <w:p>
            <w:pPr>
              <w:jc w:val="right"/>
              <w:ind w:right="82"/>
              <w:spacing w:after="0"/>
              <w:rPr>
                <w:sz w:val="20"/>
                <w:szCs w:val="20"/>
                <w:color w:val="auto"/>
              </w:rPr>
            </w:pPr>
            <w:r>
              <w:rPr>
                <w:rFonts w:ascii="Arial" w:cs="Arial" w:eastAsia="Arial" w:hAnsi="Arial"/>
                <w:sz w:val="16"/>
                <w:szCs w:val="16"/>
                <w:color w:val="auto"/>
              </w:rPr>
              <w:t>263,277</w:t>
            </w:r>
          </w:p>
        </w:tc>
        <w:tc>
          <w:tcPr>
            <w:tcW w:w="10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5,892,139</w:t>
            </w:r>
          </w:p>
        </w:tc>
        <w:tc>
          <w:tcPr>
            <w:tcW w:w="120" w:type="dxa"/>
            <w:vAlign w:val="bottom"/>
            <w:shd w:val="clear" w:color="auto" w:fill="F2F2F2"/>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40" w:type="dxa"/>
            <w:vAlign w:val="bottom"/>
            <w:shd w:val="clear" w:color="auto" w:fill="F2F2F2"/>
          </w:tcPr>
          <w:p>
            <w:pPr>
              <w:spacing w:after="0" w:line="44" w:lineRule="exact"/>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spacing w:after="0"/>
              <w:rPr>
                <w:sz w:val="3"/>
                <w:szCs w:val="3"/>
                <w:color w:val="auto"/>
              </w:rPr>
            </w:pPr>
          </w:p>
        </w:tc>
        <w:tc>
          <w:tcPr>
            <w:tcW w:w="220" w:type="dxa"/>
            <w:vAlign w:val="bottom"/>
            <w:shd w:val="clear" w:color="auto" w:fill="F2F2F2"/>
          </w:tcPr>
          <w:p>
            <w:pPr>
              <w:ind w:left="120"/>
              <w:spacing w:after="0" w:line="44" w:lineRule="exact"/>
              <w:rPr>
                <w:sz w:val="20"/>
                <w:szCs w:val="20"/>
                <w:color w:val="auto"/>
              </w:rPr>
            </w:pPr>
            <w:r>
              <w:rPr>
                <w:rFonts w:ascii="Arial" w:cs="Arial" w:eastAsia="Arial" w:hAnsi="Arial"/>
                <w:sz w:val="4"/>
                <w:szCs w:val="4"/>
                <w:color w:val="auto"/>
              </w:rPr>
              <w:t>​</w:t>
            </w:r>
          </w:p>
        </w:tc>
        <w:tc>
          <w:tcPr>
            <w:tcW w:w="80" w:type="dxa"/>
            <w:vAlign w:val="bottom"/>
            <w:shd w:val="clear" w:color="auto" w:fill="F2F2F2"/>
          </w:tcPr>
          <w:p>
            <w:pPr>
              <w:spacing w:after="0"/>
              <w:rPr>
                <w:sz w:val="3"/>
                <w:szCs w:val="3"/>
                <w:color w:val="auto"/>
              </w:rPr>
            </w:pPr>
          </w:p>
        </w:tc>
        <w:tc>
          <w:tcPr>
            <w:tcW w:w="120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880" w:type="dxa"/>
            <w:vAlign w:val="bottom"/>
            <w:shd w:val="clear" w:color="auto" w:fill="F2F2F2"/>
          </w:tcPr>
          <w:p>
            <w:pPr>
              <w:spacing w:after="0"/>
              <w:rPr>
                <w:sz w:val="3"/>
                <w:szCs w:val="3"/>
                <w:color w:val="auto"/>
              </w:rPr>
            </w:pPr>
          </w:p>
        </w:tc>
        <w:tc>
          <w:tcPr>
            <w:tcW w:w="6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98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640" w:type="dxa"/>
            <w:vAlign w:val="bottom"/>
            <w:shd w:val="clear" w:color="auto" w:fill="F2F2F2"/>
          </w:tcPr>
          <w:p>
            <w:pPr>
              <w:spacing w:after="0"/>
              <w:rPr>
                <w:sz w:val="3"/>
                <w:szCs w:val="3"/>
                <w:color w:val="auto"/>
              </w:rPr>
            </w:pPr>
          </w:p>
        </w:tc>
        <w:tc>
          <w:tcPr>
            <w:tcW w:w="6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760" w:type="dxa"/>
            <w:vAlign w:val="bottom"/>
            <w:shd w:val="clear" w:color="auto" w:fill="F2F2F2"/>
          </w:tcPr>
          <w:p>
            <w:pPr>
              <w:spacing w:after="0"/>
              <w:rPr>
                <w:sz w:val="3"/>
                <w:szCs w:val="3"/>
                <w:color w:val="auto"/>
              </w:rPr>
            </w:pPr>
          </w:p>
        </w:tc>
        <w:tc>
          <w:tcPr>
            <w:tcW w:w="60" w:type="dxa"/>
            <w:vAlign w:val="bottom"/>
            <w:shd w:val="clear" w:color="auto" w:fill="F2F2F2"/>
          </w:tcPr>
          <w:p>
            <w:pPr>
              <w:spacing w:after="0"/>
              <w:rPr>
                <w:sz w:val="3"/>
                <w:szCs w:val="3"/>
                <w:color w:val="auto"/>
              </w:rPr>
            </w:pPr>
          </w:p>
        </w:tc>
        <w:tc>
          <w:tcPr>
            <w:tcW w:w="120" w:type="dxa"/>
            <w:vAlign w:val="bottom"/>
            <w:shd w:val="clear" w:color="auto" w:fill="F2F2F2"/>
          </w:tcPr>
          <w:p>
            <w:pPr>
              <w:spacing w:after="0"/>
              <w:rPr>
                <w:sz w:val="3"/>
                <w:szCs w:val="3"/>
                <w:color w:val="auto"/>
              </w:rPr>
            </w:pPr>
          </w:p>
        </w:tc>
        <w:tc>
          <w:tcPr>
            <w:tcW w:w="106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980" w:type="dxa"/>
            <w:vAlign w:val="bottom"/>
            <w:shd w:val="clear" w:color="auto" w:fill="F2F2F2"/>
          </w:tcPr>
          <w:p>
            <w:pPr>
              <w:spacing w:after="0"/>
              <w:rPr>
                <w:sz w:val="3"/>
                <w:szCs w:val="3"/>
                <w:color w:val="auto"/>
              </w:rPr>
            </w:pPr>
          </w:p>
        </w:tc>
        <w:tc>
          <w:tcPr>
            <w:tcW w:w="12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381"/>
        </w:trPr>
        <w:tc>
          <w:tcPr>
            <w:tcW w:w="40" w:type="dxa"/>
            <w:vAlign w:val="bottom"/>
            <w:shd w:val="clear" w:color="auto" w:fill="F2F2F2"/>
          </w:tcPr>
          <w:p>
            <w:pPr>
              <w:spacing w:after="0"/>
              <w:rPr>
                <w:sz w:val="24"/>
                <w:szCs w:val="24"/>
                <w:color w:val="auto"/>
              </w:rPr>
            </w:pPr>
          </w:p>
        </w:tc>
        <w:tc>
          <w:tcPr>
            <w:tcW w:w="160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8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200" w:type="dxa"/>
            <w:vAlign w:val="bottom"/>
            <w:shd w:val="clear" w:color="auto" w:fill="F2F2F2"/>
          </w:tcPr>
          <w:p>
            <w:pPr>
              <w:jc w:val="right"/>
              <w:ind w:right="4"/>
              <w:spacing w:after="0"/>
              <w:rPr>
                <w:sz w:val="20"/>
                <w:szCs w:val="20"/>
                <w:color w:val="auto"/>
              </w:rPr>
            </w:pPr>
            <w:r>
              <w:rPr>
                <w:rFonts w:ascii="Arial" w:cs="Arial" w:eastAsia="Arial" w:hAnsi="Arial"/>
                <w:sz w:val="16"/>
                <w:szCs w:val="16"/>
                <w:color w:val="auto"/>
              </w:rPr>
              <w:t>12/1/2020</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6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160" w:type="dxa"/>
            <w:vAlign w:val="bottom"/>
            <w:gridSpan w:val="2"/>
            <w:shd w:val="clear" w:color="auto" w:fill="F2F2F2"/>
          </w:tcPr>
          <w:p>
            <w:pPr>
              <w:jc w:val="right"/>
              <w:ind w:right="42"/>
              <w:spacing w:after="0"/>
              <w:rPr>
                <w:sz w:val="20"/>
                <w:szCs w:val="20"/>
                <w:color w:val="auto"/>
              </w:rPr>
            </w:pPr>
            <w:r>
              <w:rPr>
                <w:rFonts w:ascii="Arial" w:cs="Arial" w:eastAsia="Arial" w:hAnsi="Arial"/>
                <w:sz w:val="16"/>
                <w:szCs w:val="16"/>
                <w:color w:val="auto"/>
              </w:rPr>
              <w:t>220,653</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4,938,209</w:t>
            </w:r>
          </w:p>
        </w:tc>
        <w:tc>
          <w:tcPr>
            <w:tcW w:w="120" w:type="dxa"/>
            <w:vAlign w:val="bottom"/>
            <w:shd w:val="clear" w:color="auto" w:fill="F2F2F2"/>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2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ind w:left="20"/>
              <w:spacing w:after="0"/>
              <w:rPr>
                <w:sz w:val="20"/>
                <w:szCs w:val="20"/>
                <w:color w:val="auto"/>
              </w:rPr>
            </w:pPr>
            <w:r>
              <w:rPr>
                <w:rFonts w:ascii="Arial" w:cs="Arial" w:eastAsia="Arial" w:hAnsi="Arial"/>
                <w:sz w:val="16"/>
                <w:szCs w:val="16"/>
                <w:color w:val="auto"/>
              </w:rPr>
              <w:t>Bart E. Volkmer</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4/1/2019</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6,689</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149,700</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4/1/2020</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41,827</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936,088</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4/1/2021</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65,702</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gridSpan w:val="2"/>
          </w:tcPr>
          <w:p>
            <w:pPr>
              <w:jc w:val="right"/>
              <w:ind w:right="91"/>
              <w:spacing w:after="0"/>
              <w:rPr>
                <w:sz w:val="20"/>
                <w:szCs w:val="20"/>
                <w:color w:val="auto"/>
              </w:rPr>
            </w:pPr>
            <w:r>
              <w:rPr>
                <w:rFonts w:ascii="Arial" w:cs="Arial" w:eastAsia="Arial" w:hAnsi="Arial"/>
                <w:sz w:val="16"/>
                <w:szCs w:val="16"/>
                <w:color w:val="auto"/>
              </w:rPr>
              <w:t xml:space="preserve">1,470,411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38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16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4/1/2022</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109,328</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2,446,761</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bl>
    <w:p>
      <w:pPr>
        <w:ind w:left="244" w:hanging="244"/>
        <w:spacing w:after="0" w:line="222"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closing price of our Class A common stock on December 30, 2022, the last trading day of the year, was $22.38.</w:t>
      </w:r>
    </w:p>
    <w:p>
      <w:pPr>
        <w:spacing w:after="0" w:line="17" w:lineRule="exact"/>
        <w:rPr>
          <w:rFonts w:ascii="Arial" w:cs="Arial" w:eastAsia="Arial" w:hAnsi="Arial"/>
          <w:sz w:val="22"/>
          <w:szCs w:val="22"/>
          <w:color w:val="auto"/>
          <w:vertAlign w:val="superscript"/>
        </w:rPr>
      </w:pPr>
    </w:p>
    <w:p>
      <w:pPr>
        <w:ind w:left="244" w:right="20" w:hanging="244"/>
        <w:spacing w:after="0" w:line="207"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w:t>
      </w:r>
      <w:r>
        <w:rPr>
          <w:rFonts w:ascii="Arial" w:cs="Arial" w:eastAsia="Arial" w:hAnsi="Arial"/>
          <w:sz w:val="14"/>
          <w:szCs w:val="14"/>
          <w:color w:val="auto"/>
        </w:rPr>
        <w:t>” below.</w:t>
      </w:r>
    </w:p>
    <w:p>
      <w:pPr>
        <w:spacing w:after="0" w:line="3" w:lineRule="exact"/>
        <w:rPr>
          <w:rFonts w:ascii="Arial" w:cs="Arial" w:eastAsia="Arial" w:hAnsi="Arial"/>
          <w:sz w:val="22"/>
          <w:szCs w:val="22"/>
          <w:color w:val="auto"/>
          <w:vertAlign w:val="superscript"/>
        </w:rPr>
      </w:pPr>
    </w:p>
    <w:p>
      <w:pPr>
        <w:ind w:left="244" w:right="420" w:hanging="244"/>
        <w:spacing w:after="0" w:line="193"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4" w:lineRule="exact"/>
        <w:rPr>
          <w:rFonts w:ascii="Arial" w:cs="Arial" w:eastAsia="Arial" w:hAnsi="Arial"/>
          <w:sz w:val="22"/>
          <w:szCs w:val="22"/>
          <w:color w:val="auto"/>
          <w:vertAlign w:val="superscript"/>
        </w:rPr>
      </w:pPr>
    </w:p>
    <w:p>
      <w:pPr>
        <w:ind w:left="244" w:right="120" w:hanging="244"/>
        <w:spacing w:after="0" w:line="207"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1/4th of the shares of our Class A common stock underlying the RSAs vested on November 15th, 2020, and an additional 1/16th of the total number of shares of our Class A common stock underlying the RSAs vests in equal quarterly installments on the Quarterly Vesting Dates, subject to continued service through each such vesting date.</w:t>
      </w:r>
    </w:p>
    <w:p>
      <w:pPr>
        <w:spacing w:after="0" w:line="17" w:lineRule="exact"/>
        <w:rPr>
          <w:rFonts w:ascii="Arial" w:cs="Arial" w:eastAsia="Arial" w:hAnsi="Arial"/>
          <w:sz w:val="22"/>
          <w:szCs w:val="22"/>
          <w:color w:val="auto"/>
          <w:vertAlign w:val="superscript"/>
        </w:rPr>
      </w:pPr>
    </w:p>
    <w:p>
      <w:pPr>
        <w:ind w:left="244" w:right="180" w:hanging="244"/>
        <w:spacing w:after="0" w:line="214"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This award represents Mr. Young’s performance-based RSA. RSAs are eligible to vest over an approximately three-year performance period based on the achievement of certain stock price goals measured over a consecutive thirty-day trading period during twelve-month measurement periods. See “</w:t>
      </w:r>
      <w:r>
        <w:rPr>
          <w:rFonts w:ascii="Arial" w:cs="Arial" w:eastAsia="Arial" w:hAnsi="Arial"/>
          <w:sz w:val="14"/>
          <w:szCs w:val="14"/>
          <w:i w:val="1"/>
          <w:iCs w:val="1"/>
          <w:color w:val="auto"/>
        </w:rPr>
        <w:t>Compensation Elements—Long-Term Equity Incentive Compensation</w:t>
      </w:r>
      <w:r>
        <w:rPr>
          <w:rFonts w:ascii="Arial" w:cs="Arial" w:eastAsia="Arial" w:hAnsi="Arial"/>
          <w:sz w:val="14"/>
          <w:szCs w:val="14"/>
          <w:color w:val="auto"/>
        </w:rPr>
        <w:t>” above for additional information regarding Mr. Young’s performance-based RSA.</w:t>
      </w:r>
    </w:p>
    <w:p>
      <w:pPr>
        <w:spacing w:after="0" w:line="5" w:lineRule="exact"/>
        <w:rPr>
          <w:rFonts w:ascii="Arial" w:cs="Arial" w:eastAsia="Arial" w:hAnsi="Arial"/>
          <w:sz w:val="22"/>
          <w:szCs w:val="22"/>
          <w:color w:val="auto"/>
          <w:vertAlign w:val="superscript"/>
        </w:rPr>
      </w:pPr>
    </w:p>
    <w:p>
      <w:pPr>
        <w:ind w:left="244" w:right="100" w:hanging="244"/>
        <w:spacing w:after="0" w:line="207" w:lineRule="auto"/>
        <w:tabs>
          <w:tab w:leader="none" w:pos="244"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amount reported reflects the total of (i) the shares covered by the second tranche that became eligible to vest on December 31, 2022 upon the achievement of the $21.50 price target and (ii) the shares covered by the third tranche that would become eligible to vest if the minimum price target, or $10.00, is achieved.</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Co-Founder Grant</w:t>
      </w:r>
    </w:p>
    <w:p>
      <w:pPr>
        <w:spacing w:after="0" w:line="169" w:lineRule="exact"/>
        <w:rPr>
          <w:sz w:val="20"/>
          <w:szCs w:val="20"/>
          <w:color w:val="auto"/>
        </w:rPr>
      </w:pPr>
    </w:p>
    <w:p>
      <w:pPr>
        <w:ind w:left="4" w:right="60"/>
        <w:spacing w:after="0" w:line="260" w:lineRule="auto"/>
        <w:rPr>
          <w:sz w:val="20"/>
          <w:szCs w:val="20"/>
          <w:color w:val="auto"/>
        </w:rPr>
      </w:pPr>
      <w:r>
        <w:rPr>
          <w:rFonts w:ascii="Arial" w:cs="Arial" w:eastAsia="Arial" w:hAnsi="Arial"/>
          <w:sz w:val="16"/>
          <w:szCs w:val="16"/>
          <w:color w:val="auto"/>
        </w:rPr>
        <w:t>In December 2017, our board of directors approved the Co-Founder Grant. The Co-Founder Grant has service-based, market-based, and performance-based vesting conditions as described above in “</w:t>
      </w:r>
      <w:r>
        <w:rPr>
          <w:rFonts w:ascii="Arial" w:cs="Arial" w:eastAsia="Arial" w:hAnsi="Arial"/>
          <w:sz w:val="16"/>
          <w:szCs w:val="16"/>
          <w:i w:val="1"/>
          <w:iCs w:val="1"/>
          <w:color w:val="auto"/>
        </w:rPr>
        <w:t>Performance Achievement of Mr. Houston’s Co-Founder Grant</w:t>
      </w:r>
      <w:r>
        <w:rPr>
          <w:rFonts w:ascii="Arial" w:cs="Arial" w:eastAsia="Arial" w:hAnsi="Arial"/>
          <w:sz w:val="16"/>
          <w:szCs w:val="16"/>
          <w:color w:val="auto"/>
        </w:rPr>
        <w:t>”.</w:t>
      </w:r>
    </w:p>
    <w:p>
      <w:pPr>
        <w:spacing w:after="0" w:line="1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55" w:name="page56"/>
    <w:bookmarkEnd w:id="55"/>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ind w:left="4"/>
        <w:spacing w:after="0"/>
        <w:rPr>
          <w:sz w:val="20"/>
          <w:szCs w:val="20"/>
          <w:color w:val="auto"/>
        </w:rPr>
      </w:pPr>
      <w:r>
        <w:rPr>
          <w:rFonts w:ascii="Arial" w:cs="Arial" w:eastAsia="Arial" w:hAnsi="Arial"/>
          <w:sz w:val="26"/>
          <w:szCs w:val="26"/>
          <w:color w:val="0063A6"/>
        </w:rPr>
        <w:t>Option Exercises and Stock Vested in 2022</w:t>
      </w:r>
    </w:p>
    <w:p>
      <w:pPr>
        <w:spacing w:after="0" w:line="169"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077585" cy="1628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7585" cy="1628775"/>
                    </a:xfrm>
                    <a:prstGeom prst="rect">
                      <a:avLst/>
                    </a:prstGeom>
                    <a:noFill/>
                  </pic:spPr>
                </pic:pic>
              </a:graphicData>
            </a:graphic>
          </wp:anchor>
        </w:drawing>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460" w:type="dxa"/>
            <w:vAlign w:val="bottom"/>
            <w:shd w:val="clear" w:color="auto" w:fill="0063A6"/>
          </w:tcPr>
          <w:p>
            <w:pPr>
              <w:spacing w:after="0"/>
              <w:rPr>
                <w:sz w:val="18"/>
                <w:szCs w:val="18"/>
                <w:color w:val="auto"/>
              </w:rPr>
            </w:pPr>
          </w:p>
        </w:tc>
        <w:tc>
          <w:tcPr>
            <w:tcW w:w="1100" w:type="dxa"/>
            <w:vAlign w:val="bottom"/>
            <w:shd w:val="clear" w:color="auto" w:fill="0063A6"/>
          </w:tcPr>
          <w:p>
            <w:pPr>
              <w:ind w:left="102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2920" w:type="dxa"/>
            <w:vAlign w:val="bottom"/>
            <w:gridSpan w:val="4"/>
            <w:shd w:val="clear" w:color="auto" w:fill="0063A6"/>
          </w:tcPr>
          <w:p>
            <w:pPr>
              <w:ind w:left="1000"/>
              <w:spacing w:after="0"/>
              <w:rPr>
                <w:sz w:val="20"/>
                <w:szCs w:val="20"/>
                <w:color w:val="auto"/>
              </w:rPr>
            </w:pPr>
            <w:r>
              <w:rPr>
                <w:rFonts w:ascii="Arial" w:cs="Arial" w:eastAsia="Arial" w:hAnsi="Arial"/>
                <w:sz w:val="14"/>
                <w:szCs w:val="14"/>
                <w:b w:val="1"/>
                <w:bCs w:val="1"/>
                <w:color w:val="FFFFFF"/>
              </w:rPr>
              <w:t>Option Awards</w:t>
            </w:r>
          </w:p>
        </w:tc>
        <w:tc>
          <w:tcPr>
            <w:tcW w:w="120" w:type="dxa"/>
            <w:vAlign w:val="bottom"/>
            <w:shd w:val="clear" w:color="auto" w:fill="0063A6"/>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2480" w:type="dxa"/>
            <w:vAlign w:val="bottom"/>
            <w:gridSpan w:val="4"/>
            <w:shd w:val="clear" w:color="auto" w:fill="0063A6"/>
          </w:tcPr>
          <w:p>
            <w:pPr>
              <w:ind w:left="800"/>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shd w:val="clear" w:color="auto" w:fill="0063A6"/>
          </w:tcPr>
          <w:p>
            <w:pPr>
              <w:jc w:val="right"/>
              <w:ind w:right="91"/>
              <w:spacing w:after="0"/>
              <w:rPr>
                <w:sz w:val="20"/>
                <w:szCs w:val="20"/>
                <w:color w:val="auto"/>
              </w:rPr>
            </w:pPr>
            <w:r>
              <w:rPr>
                <w:rFonts w:ascii="Arial" w:cs="Arial" w:eastAsia="Arial" w:hAnsi="Arial"/>
                <w:sz w:val="2"/>
                <w:szCs w:val="2"/>
                <w:color w:val="auto"/>
                <w:w w:val="4294942296"/>
              </w:rPr>
              <w:t>​</w:t>
            </w:r>
          </w:p>
        </w:tc>
      </w:tr>
      <w:tr>
        <w:trPr>
          <w:trHeight w:val="408"/>
        </w:trPr>
        <w:tc>
          <w:tcPr>
            <w:tcW w:w="40" w:type="dxa"/>
            <w:vAlign w:val="bottom"/>
            <w:shd w:val="clear" w:color="auto" w:fill="0063A6"/>
          </w:tcPr>
          <w:p>
            <w:pPr>
              <w:spacing w:after="0"/>
              <w:rPr>
                <w:sz w:val="24"/>
                <w:szCs w:val="24"/>
                <w:color w:val="auto"/>
              </w:rPr>
            </w:pPr>
          </w:p>
        </w:tc>
        <w:tc>
          <w:tcPr>
            <w:tcW w:w="2460" w:type="dxa"/>
            <w:vAlign w:val="bottom"/>
            <w:shd w:val="clear" w:color="auto" w:fill="0063A6"/>
          </w:tcPr>
          <w:p>
            <w:pPr>
              <w:spacing w:after="0"/>
              <w:rPr>
                <w:sz w:val="24"/>
                <w:szCs w:val="24"/>
                <w:color w:val="auto"/>
              </w:rPr>
            </w:pPr>
          </w:p>
        </w:tc>
        <w:tc>
          <w:tcPr>
            <w:tcW w:w="110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360" w:type="dxa"/>
            <w:vAlign w:val="bottom"/>
            <w:shd w:val="clear" w:color="auto" w:fill="0063A6"/>
          </w:tcPr>
          <w:p>
            <w:pPr>
              <w:jc w:val="center"/>
              <w:ind w:left="24"/>
              <w:spacing w:after="0"/>
              <w:rPr>
                <w:sz w:val="20"/>
                <w:szCs w:val="20"/>
                <w:color w:val="auto"/>
              </w:rPr>
            </w:pPr>
            <w:r>
              <w:rPr>
                <w:rFonts w:ascii="Arial" w:cs="Arial" w:eastAsia="Arial" w:hAnsi="Arial"/>
                <w:sz w:val="14"/>
                <w:szCs w:val="14"/>
                <w:b w:val="1"/>
                <w:bCs w:val="1"/>
                <w:color w:val="FFFFFF"/>
              </w:rPr>
              <w:t>Option Awards –</w:t>
            </w:r>
          </w:p>
        </w:tc>
        <w:tc>
          <w:tcPr>
            <w:tcW w:w="1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12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0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w:t>
            </w:r>
          </w:p>
        </w:tc>
        <w:tc>
          <w:tcPr>
            <w:tcW w:w="120" w:type="dxa"/>
            <w:vAlign w:val="bottom"/>
            <w:shd w:val="clear" w:color="auto" w:fill="0063A6"/>
          </w:tcPr>
          <w:p>
            <w:pPr>
              <w:spacing w:after="0"/>
              <w:rPr>
                <w:sz w:val="24"/>
                <w:szCs w:val="24"/>
                <w:color w:val="auto"/>
              </w:rPr>
            </w:pPr>
          </w:p>
        </w:tc>
      </w:tr>
      <w:tr>
        <w:trPr>
          <w:trHeight w:val="162"/>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460" w:type="dxa"/>
            <w:vAlign w:val="bottom"/>
            <w:shd w:val="clear" w:color="auto" w:fill="0063A6"/>
          </w:tcPr>
          <w:p>
            <w:pPr>
              <w:spacing w:after="0"/>
              <w:rPr>
                <w:sz w:val="14"/>
                <w:szCs w:val="14"/>
                <w:color w:val="auto"/>
              </w:rPr>
            </w:pPr>
          </w:p>
        </w:tc>
        <w:tc>
          <w:tcPr>
            <w:tcW w:w="1100" w:type="dxa"/>
            <w:vAlign w:val="bottom"/>
            <w:shd w:val="clear" w:color="auto" w:fill="0063A6"/>
          </w:tcPr>
          <w:p>
            <w:pPr>
              <w:ind w:left="102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50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Shares Acquired on</w:t>
            </w:r>
            <w:r>
              <w:rPr>
                <w:rFonts w:ascii="Arial" w:cs="Arial" w:eastAsia="Arial" w:hAnsi="Arial"/>
                <w:sz w:val="3"/>
                <w:szCs w:val="3"/>
                <w:color w:val="000000"/>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380" w:type="dxa"/>
            <w:vAlign w:val="bottom"/>
            <w:gridSpan w:val="2"/>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 xml:space="preserve">Value Realized on </w:t>
            </w:r>
            <w:r>
              <w:rPr>
                <w:rFonts w:ascii="Arial" w:cs="Arial" w:eastAsia="Arial" w:hAnsi="Arial"/>
                <w:sz w:val="3"/>
                <w:szCs w:val="3"/>
                <w:color w:val="000000"/>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3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Acquired on</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060" w:type="dxa"/>
            <w:vAlign w:val="bottom"/>
            <w:gridSpan w:val="2"/>
            <w:shd w:val="clear" w:color="auto" w:fill="0063A6"/>
          </w:tcPr>
          <w:p>
            <w:pPr>
              <w:jc w:val="right"/>
              <w:ind w:right="91"/>
              <w:spacing w:after="0"/>
              <w:rPr>
                <w:sz w:val="20"/>
                <w:szCs w:val="20"/>
                <w:color w:val="auto"/>
              </w:rPr>
            </w:pPr>
            <w:r>
              <w:rPr>
                <w:rFonts w:ascii="Arial" w:cs="Arial" w:eastAsia="Arial" w:hAnsi="Arial"/>
                <w:sz w:val="14"/>
                <w:szCs w:val="14"/>
                <w:b w:val="1"/>
                <w:bCs w:val="1"/>
                <w:color w:val="FFFFFF"/>
              </w:rPr>
              <w:t xml:space="preserve">Realized on </w:t>
            </w:r>
            <w:r>
              <w:rPr>
                <w:rFonts w:ascii="Arial" w:cs="Arial" w:eastAsia="Arial" w:hAnsi="Arial"/>
                <w:sz w:val="3"/>
                <w:szCs w:val="3"/>
                <w:color w:val="000000"/>
              </w:rPr>
              <w:t>​</w:t>
            </w:r>
          </w:p>
        </w:tc>
      </w:tr>
      <w:tr>
        <w:trPr>
          <w:trHeight w:val="283"/>
        </w:trPr>
        <w:tc>
          <w:tcPr>
            <w:tcW w:w="40" w:type="dxa"/>
            <w:vAlign w:val="bottom"/>
            <w:shd w:val="clear" w:color="auto" w:fill="0063A6"/>
          </w:tcPr>
          <w:p>
            <w:pPr>
              <w:spacing w:after="0"/>
              <w:rPr>
                <w:sz w:val="24"/>
                <w:szCs w:val="24"/>
                <w:color w:val="auto"/>
              </w:rPr>
            </w:pPr>
          </w:p>
        </w:tc>
        <w:tc>
          <w:tcPr>
            <w:tcW w:w="24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360" w:type="dxa"/>
            <w:vAlign w:val="bottom"/>
            <w:shd w:val="clear" w:color="auto" w:fill="0063A6"/>
          </w:tcPr>
          <w:p>
            <w:pPr>
              <w:jc w:val="center"/>
              <w:ind w:left="44"/>
              <w:spacing w:after="0"/>
              <w:rPr>
                <w:sz w:val="20"/>
                <w:szCs w:val="20"/>
                <w:color w:val="auto"/>
              </w:rPr>
            </w:pPr>
            <w:r>
              <w:rPr>
                <w:rFonts w:ascii="Arial" w:cs="Arial" w:eastAsia="Arial" w:hAnsi="Arial"/>
                <w:sz w:val="14"/>
                <w:szCs w:val="14"/>
                <w:b w:val="1"/>
                <w:bCs w:val="1"/>
                <w:color w:val="FFFFFF"/>
              </w:rPr>
              <w:t>Exercise</w:t>
            </w:r>
          </w:p>
        </w:tc>
        <w:tc>
          <w:tcPr>
            <w:tcW w:w="1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260" w:type="dxa"/>
            <w:vAlign w:val="bottom"/>
            <w:shd w:val="clear" w:color="auto" w:fill="0063A6"/>
          </w:tcPr>
          <w:p>
            <w:pPr>
              <w:jc w:val="center"/>
              <w:ind w:left="23"/>
              <w:spacing w:after="0"/>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23"/>
                <w:szCs w:val="23"/>
                <w:b w:val="1"/>
                <w:bCs w:val="1"/>
                <w:color w:val="FFFFFF"/>
                <w:w w:val="97"/>
                <w:vertAlign w:val="superscript"/>
              </w:rPr>
              <w:t>(1)</w:t>
            </w:r>
          </w:p>
        </w:tc>
        <w:tc>
          <w:tcPr>
            <w:tcW w:w="12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300" w:type="dxa"/>
            <w:vAlign w:val="bottom"/>
            <w:shd w:val="clear" w:color="auto" w:fill="0063A6"/>
          </w:tcPr>
          <w:p>
            <w:pPr>
              <w:jc w:val="center"/>
              <w:ind w:left="4"/>
              <w:spacing w:after="0"/>
              <w:rPr>
                <w:sz w:val="20"/>
                <w:szCs w:val="20"/>
                <w:color w:val="auto"/>
              </w:rPr>
            </w:pPr>
            <w:r>
              <w:rPr>
                <w:rFonts w:ascii="Arial" w:cs="Arial" w:eastAsia="Arial" w:hAnsi="Arial"/>
                <w:sz w:val="14"/>
                <w:szCs w:val="14"/>
                <w:b w:val="1"/>
                <w:bCs w:val="1"/>
                <w:color w:val="FFFFFF"/>
                <w:w w:val="98"/>
              </w:rPr>
              <w:t>Vesting</w:t>
            </w:r>
          </w:p>
        </w:tc>
        <w:tc>
          <w:tcPr>
            <w:tcW w:w="10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94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w w:val="95"/>
              </w:rPr>
              <w:t>Vesting ($)</w:t>
            </w:r>
            <w:r>
              <w:rPr>
                <w:rFonts w:ascii="Arial" w:cs="Arial" w:eastAsia="Arial" w:hAnsi="Arial"/>
                <w:sz w:val="23"/>
                <w:szCs w:val="23"/>
                <w:b w:val="1"/>
                <w:bCs w:val="1"/>
                <w:color w:val="FFFFFF"/>
                <w:w w:val="95"/>
                <w:vertAlign w:val="superscript"/>
              </w:rPr>
              <w:t>(2)</w:t>
            </w:r>
          </w:p>
        </w:tc>
        <w:tc>
          <w:tcPr>
            <w:tcW w:w="120" w:type="dxa"/>
            <w:vAlign w:val="bottom"/>
            <w:shd w:val="clear" w:color="auto" w:fill="0063A6"/>
          </w:tcPr>
          <w:p>
            <w:pPr>
              <w:spacing w:after="0"/>
              <w:rPr>
                <w:sz w:val="24"/>
                <w:szCs w:val="24"/>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460" w:type="dxa"/>
            <w:vAlign w:val="bottom"/>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1100" w:type="dxa"/>
            <w:vAlign w:val="bottom"/>
            <w:shd w:val="clear" w:color="auto" w:fill="F2F2F2"/>
          </w:tcPr>
          <w:p>
            <w:pPr>
              <w:ind w:left="10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60" w:type="dxa"/>
            <w:vAlign w:val="bottom"/>
            <w:shd w:val="clear" w:color="auto" w:fill="F2F2F2"/>
          </w:tcPr>
          <w:p>
            <w:pPr>
              <w:jc w:val="center"/>
              <w:ind w:left="44"/>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260" w:type="dxa"/>
            <w:vAlign w:val="bottom"/>
            <w:shd w:val="clear" w:color="auto" w:fill="F2F2F2"/>
          </w:tcPr>
          <w:p>
            <w:pPr>
              <w:jc w:val="center"/>
              <w:ind w:left="23"/>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rPr>
              <w:t>—</w:t>
            </w:r>
          </w:p>
        </w:tc>
        <w:tc>
          <w:tcPr>
            <w:tcW w:w="120" w:type="dxa"/>
            <w:vAlign w:val="bottom"/>
            <w:shd w:val="clear" w:color="auto" w:fill="F2F2F2"/>
          </w:tcPr>
          <w:p>
            <w:pPr>
              <w:jc w:val="right"/>
              <w:ind w:right="91"/>
              <w:spacing w:after="0"/>
              <w:rPr>
                <w:sz w:val="20"/>
                <w:szCs w:val="20"/>
                <w:color w:val="auto"/>
              </w:rPr>
            </w:pPr>
            <w:r>
              <w:rPr>
                <w:rFonts w:ascii="Arial" w:cs="Arial" w:eastAsia="Arial" w:hAnsi="Arial"/>
                <w:sz w:val="2"/>
                <w:szCs w:val="2"/>
                <w:color w:val="auto"/>
                <w:w w:val="4294942296"/>
              </w:rPr>
              <w:t>​</w:t>
            </w:r>
          </w:p>
        </w:tc>
      </w:tr>
      <w:tr>
        <w:trPr>
          <w:trHeight w:val="87"/>
        </w:trPr>
        <w:tc>
          <w:tcPr>
            <w:tcW w:w="40" w:type="dxa"/>
            <w:vAlign w:val="bottom"/>
            <w:shd w:val="clear" w:color="auto" w:fill="F2F2F2"/>
          </w:tcPr>
          <w:p>
            <w:pPr>
              <w:spacing w:after="0"/>
              <w:rPr>
                <w:sz w:val="7"/>
                <w:szCs w:val="7"/>
                <w:color w:val="auto"/>
              </w:rPr>
            </w:pPr>
          </w:p>
        </w:tc>
        <w:tc>
          <w:tcPr>
            <w:tcW w:w="246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3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26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060" w:type="dxa"/>
            <w:vAlign w:val="bottom"/>
            <w:gridSpan w:val="2"/>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46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1100" w:type="dxa"/>
            <w:vAlign w:val="bottom"/>
          </w:tcPr>
          <w:p>
            <w:pPr>
              <w:ind w:left="1020"/>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360" w:type="dxa"/>
            <w:vAlign w:val="bottom"/>
          </w:tcPr>
          <w:p>
            <w:pPr>
              <w:jc w:val="center"/>
              <w:ind w:left="44"/>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260" w:type="dxa"/>
            <w:vAlign w:val="bottom"/>
          </w:tcPr>
          <w:p>
            <w:pPr>
              <w:jc w:val="center"/>
              <w:ind w:left="23"/>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161,443</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60" w:type="dxa"/>
            <w:vAlign w:val="bottom"/>
            <w:gridSpan w:val="2"/>
          </w:tcPr>
          <w:p>
            <w:pPr>
              <w:jc w:val="right"/>
              <w:ind w:right="91"/>
              <w:spacing w:after="0"/>
              <w:rPr>
                <w:sz w:val="20"/>
                <w:szCs w:val="20"/>
                <w:color w:val="auto"/>
              </w:rPr>
            </w:pPr>
            <w:r>
              <w:rPr>
                <w:rFonts w:ascii="Arial" w:cs="Arial" w:eastAsia="Arial" w:hAnsi="Arial"/>
                <w:sz w:val="16"/>
                <w:szCs w:val="16"/>
                <w:color w:val="auto"/>
              </w:rPr>
              <w:t xml:space="preserve">3,733,360 </w:t>
            </w:r>
            <w:r>
              <w:rPr>
                <w:rFonts w:ascii="Arial" w:cs="Arial" w:eastAsia="Arial" w:hAnsi="Arial"/>
                <w:sz w:val="3"/>
                <w:szCs w:val="3"/>
                <w:color w:val="auto"/>
              </w:rPr>
              <w:t>​</w:t>
            </w:r>
          </w:p>
        </w:tc>
      </w:tr>
      <w:tr>
        <w:trPr>
          <w:trHeight w:val="87"/>
        </w:trPr>
        <w:tc>
          <w:tcPr>
            <w:tcW w:w="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tcPr>
          <w:p>
            <w:pPr>
              <w:spacing w:after="0"/>
              <w:rPr>
                <w:sz w:val="7"/>
                <w:szCs w:val="7"/>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46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Young</w:t>
            </w:r>
          </w:p>
        </w:tc>
        <w:tc>
          <w:tcPr>
            <w:tcW w:w="1100" w:type="dxa"/>
            <w:vAlign w:val="bottom"/>
            <w:shd w:val="clear" w:color="auto" w:fill="F2F2F2"/>
          </w:tcPr>
          <w:p>
            <w:pPr>
              <w:ind w:left="102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60" w:type="dxa"/>
            <w:vAlign w:val="bottom"/>
            <w:shd w:val="clear" w:color="auto" w:fill="F2F2F2"/>
          </w:tcPr>
          <w:p>
            <w:pPr>
              <w:jc w:val="center"/>
              <w:ind w:left="44"/>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260" w:type="dxa"/>
            <w:vAlign w:val="bottom"/>
            <w:shd w:val="clear" w:color="auto" w:fill="F2F2F2"/>
          </w:tcPr>
          <w:p>
            <w:pPr>
              <w:jc w:val="center"/>
              <w:ind w:left="23"/>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616,323</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60" w:type="dxa"/>
            <w:vAlign w:val="bottom"/>
            <w:gridSpan w:val="2"/>
            <w:shd w:val="clear" w:color="auto" w:fill="F2F2F2"/>
          </w:tcPr>
          <w:p>
            <w:pPr>
              <w:jc w:val="right"/>
              <w:ind w:right="91"/>
              <w:spacing w:after="0"/>
              <w:rPr>
                <w:sz w:val="20"/>
                <w:szCs w:val="20"/>
                <w:color w:val="auto"/>
              </w:rPr>
            </w:pPr>
            <w:r>
              <w:rPr>
                <w:rFonts w:ascii="Arial" w:cs="Arial" w:eastAsia="Arial" w:hAnsi="Arial"/>
                <w:sz w:val="16"/>
                <w:szCs w:val="16"/>
                <w:color w:val="auto"/>
              </w:rPr>
              <w:t xml:space="preserve">14,717,500 </w:t>
            </w:r>
            <w:r>
              <w:rPr>
                <w:rFonts w:ascii="Arial" w:cs="Arial" w:eastAsia="Arial" w:hAnsi="Arial"/>
                <w:sz w:val="3"/>
                <w:szCs w:val="3"/>
                <w:color w:val="auto"/>
              </w:rPr>
              <w:t>​</w:t>
            </w:r>
          </w:p>
        </w:tc>
      </w:tr>
      <w:tr>
        <w:trPr>
          <w:trHeight w:val="87"/>
        </w:trPr>
        <w:tc>
          <w:tcPr>
            <w:tcW w:w="40" w:type="dxa"/>
            <w:vAlign w:val="bottom"/>
            <w:shd w:val="clear" w:color="auto" w:fill="F2F2F2"/>
          </w:tcPr>
          <w:p>
            <w:pPr>
              <w:spacing w:after="0"/>
              <w:rPr>
                <w:sz w:val="7"/>
                <w:szCs w:val="7"/>
                <w:color w:val="auto"/>
              </w:rPr>
            </w:pPr>
          </w:p>
        </w:tc>
        <w:tc>
          <w:tcPr>
            <w:tcW w:w="246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3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26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060" w:type="dxa"/>
            <w:vAlign w:val="bottom"/>
            <w:gridSpan w:val="2"/>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460" w:type="dxa"/>
            <w:vAlign w:val="bottom"/>
          </w:tcPr>
          <w:p>
            <w:pPr>
              <w:ind w:left="20"/>
              <w:spacing w:after="0"/>
              <w:rPr>
                <w:sz w:val="20"/>
                <w:szCs w:val="20"/>
                <w:color w:val="auto"/>
              </w:rPr>
            </w:pPr>
            <w:r>
              <w:rPr>
                <w:rFonts w:ascii="Arial" w:cs="Arial" w:eastAsia="Arial" w:hAnsi="Arial"/>
                <w:sz w:val="16"/>
                <w:szCs w:val="16"/>
                <w:color w:val="auto"/>
              </w:rPr>
              <w:t>Bart E. Volkmer</w:t>
            </w:r>
          </w:p>
        </w:tc>
        <w:tc>
          <w:tcPr>
            <w:tcW w:w="1100" w:type="dxa"/>
            <w:vAlign w:val="bottom"/>
          </w:tcPr>
          <w:p>
            <w:pPr>
              <w:ind w:left="1020"/>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360" w:type="dxa"/>
            <w:vAlign w:val="bottom"/>
          </w:tcPr>
          <w:p>
            <w:pPr>
              <w:jc w:val="center"/>
              <w:ind w:left="44"/>
              <w:spacing w:after="0"/>
              <w:rPr>
                <w:sz w:val="20"/>
                <w:szCs w:val="20"/>
                <w:color w:val="auto"/>
              </w:rPr>
            </w:pPr>
            <w:r>
              <w:rPr>
                <w:rFonts w:ascii="Arial" w:cs="Arial" w:eastAsia="Arial" w:hAnsi="Arial"/>
                <w:sz w:val="16"/>
                <w:szCs w:val="16"/>
                <w:color w:val="auto"/>
                <w:w w:val="99"/>
              </w:rPr>
              <w:t>—</w:t>
            </w:r>
          </w:p>
        </w:tc>
        <w:tc>
          <w:tcPr>
            <w:tcW w:w="14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260" w:type="dxa"/>
            <w:vAlign w:val="bottom"/>
          </w:tcPr>
          <w:p>
            <w:pPr>
              <w:jc w:val="center"/>
              <w:ind w:left="23"/>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114,650</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60" w:type="dxa"/>
            <w:vAlign w:val="bottom"/>
            <w:gridSpan w:val="2"/>
          </w:tcPr>
          <w:p>
            <w:pPr>
              <w:jc w:val="right"/>
              <w:ind w:right="91"/>
              <w:spacing w:after="0"/>
              <w:rPr>
                <w:sz w:val="20"/>
                <w:szCs w:val="20"/>
                <w:color w:val="auto"/>
              </w:rPr>
            </w:pPr>
            <w:r>
              <w:rPr>
                <w:rFonts w:ascii="Arial" w:cs="Arial" w:eastAsia="Arial" w:hAnsi="Arial"/>
                <w:sz w:val="16"/>
                <w:szCs w:val="16"/>
                <w:color w:val="auto"/>
              </w:rPr>
              <w:t xml:space="preserve">2,649,257 </w:t>
            </w:r>
            <w:r>
              <w:rPr>
                <w:rFonts w:ascii="Arial" w:cs="Arial" w:eastAsia="Arial" w:hAnsi="Arial"/>
                <w:sz w:val="3"/>
                <w:szCs w:val="3"/>
                <w:color w:val="auto"/>
              </w:rPr>
              <w:t>​</w:t>
            </w:r>
          </w:p>
        </w:tc>
      </w:tr>
    </w:tbl>
    <w:p>
      <w:pPr>
        <w:spacing w:after="0" w:line="159" w:lineRule="exact"/>
        <w:rPr>
          <w:sz w:val="20"/>
          <w:szCs w:val="20"/>
          <w:color w:val="auto"/>
        </w:rPr>
      </w:pPr>
    </w:p>
    <w:p>
      <w:pPr>
        <w:ind w:left="244" w:right="120" w:hanging="244"/>
        <w:spacing w:after="0" w:line="193"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exercise of stock option awards is calculated by multiplying the shares exercised by Dropbox’s share price at the time of exercise, less the exercise price of the options.</w:t>
      </w:r>
    </w:p>
    <w:p>
      <w:pPr>
        <w:spacing w:after="0" w:line="18" w:lineRule="exact"/>
        <w:rPr>
          <w:rFonts w:ascii="Arial" w:cs="Arial" w:eastAsia="Arial" w:hAnsi="Arial"/>
          <w:sz w:val="22"/>
          <w:szCs w:val="22"/>
          <w:color w:val="auto"/>
          <w:vertAlign w:val="superscript"/>
        </w:rPr>
      </w:pPr>
    </w:p>
    <w:p>
      <w:pPr>
        <w:ind w:left="244" w:right="140" w:hanging="244"/>
        <w:spacing w:after="0" w:line="207" w:lineRule="auto"/>
        <w:tabs>
          <w:tab w:leader="none" w:pos="244"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of Dropbox’s Class A common stock on the vest date (or, in the event the vest date occurs on a holiday or weekend, the closing price of Dropbox’s Class A common stock on the immediately preceding trading day).</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26"/>
          <w:szCs w:val="26"/>
          <w:color w:val="0063A6"/>
        </w:rPr>
        <w:t>Potential Payments on Termination or Change in Control</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52" w:lineRule="exact"/>
        <w:rPr>
          <w:sz w:val="20"/>
          <w:szCs w:val="20"/>
          <w:color w:val="auto"/>
        </w:rPr>
      </w:pPr>
    </w:p>
    <w:p>
      <w:pPr>
        <w:ind w:left="4" w:right="20"/>
        <w:spacing w:after="0" w:line="246" w:lineRule="auto"/>
        <w:rPr>
          <w:sz w:val="20"/>
          <w:szCs w:val="20"/>
          <w:color w:val="auto"/>
        </w:rPr>
      </w:pPr>
      <w:r>
        <w:rPr>
          <w:rFonts w:ascii="Arial" w:cs="Arial" w:eastAsia="Arial" w:hAnsi="Arial"/>
          <w:sz w:val="16"/>
          <w:szCs w:val="16"/>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Compensia. We entered into change in control and severance agreements with each of our named executive officers that provide for the severance and change in control benefits described below. As noted above,</w:t>
      </w:r>
    </w:p>
    <w:p>
      <w:pPr>
        <w:spacing w:after="0" w:line="2"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Mr. Young’s employment ended on March 15, 2023, and he is no longer eligible to receive any benefit under his change in control and severance agreement.</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Basic Severance</w:t>
      </w:r>
    </w:p>
    <w:p>
      <w:pPr>
        <w:spacing w:after="0" w:line="66" w:lineRule="exact"/>
        <w:rPr>
          <w:sz w:val="20"/>
          <w:szCs w:val="20"/>
          <w:color w:val="auto"/>
        </w:rPr>
      </w:pPr>
    </w:p>
    <w:p>
      <w:pPr>
        <w:ind w:left="4" w:right="320"/>
        <w:spacing w:after="0" w:line="253"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47" w:lineRule="exact"/>
        <w:rPr>
          <w:sz w:val="20"/>
          <w:szCs w:val="20"/>
          <w:color w:val="auto"/>
        </w:rPr>
      </w:pPr>
    </w:p>
    <w:p>
      <w:pPr>
        <w:ind w:left="284" w:hanging="284"/>
        <w:spacing w:after="0" w:line="260" w:lineRule="auto"/>
        <w:tabs>
          <w:tab w:leader="none" w:pos="284"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41" w:lineRule="exact"/>
        <w:rPr>
          <w:rFonts w:ascii="Arial" w:cs="Arial" w:eastAsia="Arial" w:hAnsi="Arial"/>
          <w:sz w:val="16"/>
          <w:szCs w:val="16"/>
          <w:color w:val="0063A6"/>
        </w:rPr>
      </w:pPr>
    </w:p>
    <w:p>
      <w:pPr>
        <w:jc w:val="both"/>
        <w:ind w:left="284" w:right="220" w:hanging="284"/>
        <w:spacing w:after="0" w:line="253" w:lineRule="auto"/>
        <w:tabs>
          <w:tab w:leader="none" w:pos="284"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47" w:lineRule="exact"/>
        <w:rPr>
          <w:rFonts w:ascii="Arial" w:cs="Arial" w:eastAsia="Arial" w:hAnsi="Arial"/>
          <w:sz w:val="16"/>
          <w:szCs w:val="16"/>
          <w:color w:val="0063A6"/>
        </w:rPr>
      </w:pPr>
    </w:p>
    <w:p>
      <w:pPr>
        <w:ind w:left="284" w:right="120" w:hanging="284"/>
        <w:spacing w:after="0" w:line="253" w:lineRule="auto"/>
        <w:tabs>
          <w:tab w:leader="none" w:pos="284"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 and</w:t>
      </w:r>
    </w:p>
    <w:p>
      <w:pPr>
        <w:spacing w:after="0" w:line="147" w:lineRule="exact"/>
        <w:rPr>
          <w:rFonts w:ascii="Arial" w:cs="Arial" w:eastAsia="Arial" w:hAnsi="Arial"/>
          <w:sz w:val="16"/>
          <w:szCs w:val="16"/>
          <w:color w:val="0063A6"/>
        </w:rPr>
      </w:pPr>
    </w:p>
    <w:p>
      <w:pPr>
        <w:ind w:left="284" w:right="700" w:hanging="284"/>
        <w:spacing w:after="0" w:line="260" w:lineRule="auto"/>
        <w:tabs>
          <w:tab w:leader="none" w:pos="284"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in the case of Mr. Regan and, prior to his departure, Mr. Young, 3 months’ accelerated vesting of the unvested portion of outstanding time-based equity awards.</w:t>
      </w:r>
    </w:p>
    <w:p>
      <w:pPr>
        <w:spacing w:after="0" w:line="141"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52 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6" w:name="page57"/>
    <w:bookmarkEnd w:id="5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Change in Control Severance</w:t>
      </w:r>
    </w:p>
    <w:p>
      <w:pPr>
        <w:spacing w:after="0" w:line="32"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 Control Period</w:t>
      </w:r>
      <w:r>
        <w:rPr>
          <w:rFonts w:ascii="Arial" w:cs="Arial" w:eastAsia="Arial" w:hAnsi="Arial"/>
          <w:sz w:val="16"/>
          <w:szCs w:val="16"/>
          <w:color w:val="auto"/>
        </w:rPr>
        <w:t>”), a named executive officer’s employment is terminated by us other than for cause, death, or disability or they resign for “good reason” (as defined in their change in control and severance agreement), they will be entitled to the following benefits:</w:t>
      </w:r>
    </w:p>
    <w:p>
      <w:pPr>
        <w:spacing w:after="0" w:line="148" w:lineRule="exact"/>
        <w:rPr>
          <w:sz w:val="20"/>
          <w:szCs w:val="20"/>
          <w:color w:val="auto"/>
        </w:rPr>
      </w:pPr>
    </w:p>
    <w:p>
      <w:pPr>
        <w:jc w:val="both"/>
        <w:ind w:left="284" w:right="100" w:hanging="284"/>
        <w:spacing w:after="0" w:line="253" w:lineRule="auto"/>
        <w:tabs>
          <w:tab w:leader="none" w:pos="284"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47" w:lineRule="exact"/>
        <w:rPr>
          <w:rFonts w:ascii="Arial" w:cs="Arial" w:eastAsia="Arial" w:hAnsi="Arial"/>
          <w:sz w:val="16"/>
          <w:szCs w:val="16"/>
          <w:color w:val="0063A6"/>
        </w:rPr>
      </w:pPr>
    </w:p>
    <w:p>
      <w:pPr>
        <w:ind w:left="284" w:hanging="284"/>
        <w:spacing w:after="0"/>
        <w:tabs>
          <w:tab w:leader="none" w:pos="284"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bonus (for the year of their termination);</w:t>
      </w:r>
    </w:p>
    <w:p>
      <w:pPr>
        <w:spacing w:after="0" w:line="167" w:lineRule="exact"/>
        <w:rPr>
          <w:rFonts w:ascii="Arial" w:cs="Arial" w:eastAsia="Arial" w:hAnsi="Arial"/>
          <w:sz w:val="16"/>
          <w:szCs w:val="16"/>
          <w:color w:val="0063A6"/>
        </w:rPr>
      </w:pPr>
    </w:p>
    <w:p>
      <w:pPr>
        <w:jc w:val="both"/>
        <w:ind w:left="284" w:right="180" w:hanging="284"/>
        <w:spacing w:after="0" w:line="253" w:lineRule="auto"/>
        <w:tabs>
          <w:tab w:leader="none" w:pos="284"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47" w:lineRule="exact"/>
        <w:rPr>
          <w:rFonts w:ascii="Arial" w:cs="Arial" w:eastAsia="Arial" w:hAnsi="Arial"/>
          <w:sz w:val="16"/>
          <w:szCs w:val="16"/>
          <w:color w:val="0063A6"/>
        </w:rPr>
      </w:pPr>
    </w:p>
    <w:p>
      <w:pPr>
        <w:ind w:left="284" w:right="60" w:hanging="284"/>
        <w:spacing w:after="0" w:line="253" w:lineRule="auto"/>
        <w:tabs>
          <w:tab w:leader="none" w:pos="284"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47"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1"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Certain Equity Awards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Andrew Houston Co-Founder Grant</w:t>
      </w:r>
    </w:p>
    <w:p>
      <w:pPr>
        <w:spacing w:after="0" w:line="66"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6"/>
          <w:szCs w:val="16"/>
          <w:i w:val="1"/>
          <w:iCs w:val="1"/>
          <w:color w:val="auto"/>
        </w:rPr>
        <w:t>Co-Founder Grant</w:t>
      </w:r>
      <w:r>
        <w:rPr>
          <w:rFonts w:ascii="Arial" w:cs="Arial" w:eastAsia="Arial" w:hAnsi="Arial"/>
          <w:sz w:val="16"/>
          <w:szCs w:val="16"/>
          <w:color w:val="auto"/>
        </w:rPr>
        <w:t>” above.</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Timothy Young 2020 Performance-Based Restricted Stock Award</w:t>
      </w:r>
    </w:p>
    <w:p>
      <w:pPr>
        <w:spacing w:after="0" w:line="52" w:lineRule="exact"/>
        <w:rPr>
          <w:sz w:val="20"/>
          <w:szCs w:val="20"/>
          <w:color w:val="auto"/>
        </w:rPr>
      </w:pPr>
    </w:p>
    <w:p>
      <w:pPr>
        <w:ind w:left="4" w:right="200"/>
        <w:spacing w:after="0" w:line="250" w:lineRule="auto"/>
        <w:rPr>
          <w:sz w:val="20"/>
          <w:szCs w:val="20"/>
          <w:color w:val="auto"/>
        </w:rPr>
      </w:pPr>
      <w:r>
        <w:rPr>
          <w:rFonts w:ascii="Arial" w:cs="Arial" w:eastAsia="Arial" w:hAnsi="Arial"/>
          <w:sz w:val="16"/>
          <w:szCs w:val="16"/>
          <w:color w:val="auto"/>
        </w:rPr>
        <w:t>The vesting acceleration provisions under Mr. Young’s control and severance agreement described above did not apply to the performance-based RSA granted to Mr. Young in December 2020, and instead, the shares subject to the performance-based RSA could vest in connection with certain terminations of Mr. Young’s employment and/or a “change in control” (as defined in our 2018 Equity Incentive Plan). As noted above, Mr. Young’s employment ended on March 15, 2023, and no additional shares subject to the performance-based RSA award vested in connection with his departure.</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57" w:name="page58"/>
    <w:bookmarkEnd w:id="57"/>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Amount of Payments Upon Termination at 2022 Year-End</w:t>
      </w:r>
    </w:p>
    <w:p>
      <w:pPr>
        <w:spacing w:after="0" w:line="32" w:lineRule="exact"/>
        <w:rPr>
          <w:sz w:val="20"/>
          <w:szCs w:val="20"/>
          <w:color w:val="auto"/>
        </w:rPr>
      </w:pPr>
    </w:p>
    <w:p>
      <w:pPr>
        <w:ind w:left="4" w:right="140"/>
        <w:spacing w:after="0" w:line="251"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2022. As noted above, Mr. Young’s employment ended on March 15, 2023, and he did not receive any severance or vesting acceleration in connection with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077585" cy="1508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7585" cy="1508760"/>
                    </a:xfrm>
                    <a:prstGeom prst="rect">
                      <a:avLst/>
                    </a:prstGeom>
                    <a:noFill/>
                  </pic:spPr>
                </pic:pic>
              </a:graphicData>
            </a:graphic>
          </wp:anchor>
        </w:drawing>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0" w:type="dxa"/>
            <w:vAlign w:val="bottom"/>
            <w:shd w:val="clear" w:color="auto" w:fill="0063A6"/>
          </w:tcPr>
          <w:p>
            <w:pPr>
              <w:spacing w:after="0"/>
              <w:rPr>
                <w:sz w:val="22"/>
                <w:szCs w:val="22"/>
                <w:color w:val="auto"/>
              </w:rPr>
            </w:pPr>
          </w:p>
        </w:tc>
        <w:tc>
          <w:tcPr>
            <w:tcW w:w="2180" w:type="dxa"/>
            <w:vAlign w:val="bottom"/>
            <w:shd w:val="clear" w:color="auto" w:fill="0063A6"/>
          </w:tcPr>
          <w:p>
            <w:pPr>
              <w:spacing w:after="0"/>
              <w:rPr>
                <w:sz w:val="22"/>
                <w:szCs w:val="22"/>
                <w:color w:val="auto"/>
              </w:rPr>
            </w:pPr>
          </w:p>
        </w:tc>
        <w:tc>
          <w:tcPr>
            <w:tcW w:w="820" w:type="dxa"/>
            <w:vAlign w:val="bottom"/>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c>
          <w:tcPr>
            <w:tcW w:w="96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260" w:type="dxa"/>
            <w:vAlign w:val="bottom"/>
            <w:shd w:val="clear" w:color="auto" w:fill="0063A6"/>
          </w:tcPr>
          <w:p>
            <w:pPr>
              <w:spacing w:after="0"/>
              <w:rPr>
                <w:sz w:val="22"/>
                <w:szCs w:val="22"/>
                <w:color w:val="auto"/>
              </w:rPr>
            </w:pPr>
          </w:p>
        </w:tc>
        <w:tc>
          <w:tcPr>
            <w:tcW w:w="96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260" w:type="dxa"/>
            <w:vAlign w:val="bottom"/>
            <w:shd w:val="clear" w:color="auto" w:fill="0063A6"/>
          </w:tcPr>
          <w:p>
            <w:pPr>
              <w:spacing w:after="0"/>
              <w:rPr>
                <w:sz w:val="22"/>
                <w:szCs w:val="22"/>
                <w:color w:val="auto"/>
              </w:rPr>
            </w:pPr>
          </w:p>
        </w:tc>
        <w:tc>
          <w:tcPr>
            <w:tcW w:w="1120" w:type="dxa"/>
            <w:vAlign w:val="bottom"/>
            <w:shd w:val="clear" w:color="auto" w:fill="0063A6"/>
          </w:tcPr>
          <w:p>
            <w:pPr>
              <w:jc w:val="center"/>
              <w:ind w:left="5"/>
              <w:spacing w:after="0"/>
              <w:rPr>
                <w:sz w:val="20"/>
                <w:szCs w:val="20"/>
                <w:color w:val="auto"/>
              </w:rPr>
            </w:pPr>
            <w:r>
              <w:rPr>
                <w:rFonts w:ascii="Arial" w:cs="Arial" w:eastAsia="Arial" w:hAnsi="Arial"/>
                <w:sz w:val="14"/>
                <w:szCs w:val="14"/>
                <w:b w:val="1"/>
                <w:bCs w:val="1"/>
                <w:color w:val="FFFFFF"/>
              </w:rPr>
              <w:t>Value of</w:t>
            </w:r>
          </w:p>
        </w:tc>
        <w:tc>
          <w:tcPr>
            <w:tcW w:w="160" w:type="dxa"/>
            <w:vAlign w:val="bottom"/>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c>
          <w:tcPr>
            <w:tcW w:w="70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c>
          <w:tcPr>
            <w:tcW w:w="940" w:type="dxa"/>
            <w:vAlign w:val="bottom"/>
            <w:shd w:val="clear" w:color="auto" w:fill="0063A6"/>
          </w:tcPr>
          <w:p>
            <w:pPr>
              <w:spacing w:after="0"/>
              <w:rPr>
                <w:sz w:val="22"/>
                <w:szCs w:val="22"/>
                <w:color w:val="auto"/>
              </w:rPr>
            </w:pPr>
          </w:p>
        </w:tc>
      </w:tr>
      <w:tr>
        <w:trPr>
          <w:trHeight w:val="180"/>
        </w:trPr>
        <w:tc>
          <w:tcPr>
            <w:tcW w:w="20" w:type="dxa"/>
            <w:vAlign w:val="bottom"/>
            <w:shd w:val="clear" w:color="auto" w:fill="0063A6"/>
          </w:tcPr>
          <w:p>
            <w:pPr>
              <w:spacing w:after="0"/>
              <w:rPr>
                <w:sz w:val="20"/>
                <w:szCs w:val="20"/>
                <w:color w:val="auto"/>
              </w:rPr>
            </w:pPr>
            <w:r>
              <w:rPr>
                <w:rFonts w:ascii="Arial" w:cs="Arial" w:eastAsia="Arial" w:hAnsi="Arial"/>
                <w:sz w:val="2"/>
                <w:szCs w:val="2"/>
                <w:color w:val="auto"/>
                <w:w w:val="4294942296"/>
              </w:rPr>
              <w:t>​</w:t>
            </w:r>
          </w:p>
        </w:tc>
        <w:tc>
          <w:tcPr>
            <w:tcW w:w="2180" w:type="dxa"/>
            <w:vAlign w:val="bottom"/>
            <w:shd w:val="clear" w:color="auto" w:fill="0063A6"/>
          </w:tcPr>
          <w:p>
            <w:pPr>
              <w:spacing w:after="0"/>
              <w:rPr>
                <w:sz w:val="15"/>
                <w:szCs w:val="15"/>
                <w:color w:val="auto"/>
              </w:rPr>
            </w:pPr>
          </w:p>
        </w:tc>
        <w:tc>
          <w:tcPr>
            <w:tcW w:w="820" w:type="dxa"/>
            <w:vAlign w:val="bottom"/>
            <w:shd w:val="clear" w:color="auto" w:fill="0063A6"/>
          </w:tcPr>
          <w:p>
            <w:pPr>
              <w:ind w:left="700"/>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1100" w:type="dxa"/>
            <w:vAlign w:val="bottom"/>
            <w:gridSpan w:val="2"/>
            <w:shd w:val="clear" w:color="auto" w:fill="0063A6"/>
          </w:tcPr>
          <w:p>
            <w:pPr>
              <w:jc w:val="right"/>
              <w:ind w:right="111"/>
              <w:spacing w:after="0"/>
              <w:rPr>
                <w:sz w:val="20"/>
                <w:szCs w:val="20"/>
                <w:color w:val="auto"/>
              </w:rPr>
            </w:pPr>
            <w:r>
              <w:rPr>
                <w:rFonts w:ascii="Arial" w:cs="Arial" w:eastAsia="Arial" w:hAnsi="Arial"/>
                <w:sz w:val="14"/>
                <w:szCs w:val="14"/>
                <w:b w:val="1"/>
                <w:bCs w:val="1"/>
                <w:color w:val="FFFFFF"/>
              </w:rPr>
              <w:t xml:space="preserve">Base Salary </w:t>
            </w:r>
            <w:r>
              <w:rPr>
                <w:rFonts w:ascii="Arial" w:cs="Arial" w:eastAsia="Arial" w:hAnsi="Arial"/>
                <w:sz w:val="7"/>
                <w:szCs w:val="7"/>
                <w:color w:val="000000"/>
                <w:vertAlign w:val="subscript"/>
              </w:rPr>
              <w:t>​</w:t>
            </w:r>
          </w:p>
        </w:tc>
        <w:tc>
          <w:tcPr>
            <w:tcW w:w="26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1120" w:type="dxa"/>
            <w:vAlign w:val="bottom"/>
            <w:gridSpan w:val="2"/>
            <w:shd w:val="clear" w:color="auto" w:fill="0063A6"/>
          </w:tcPr>
          <w:p>
            <w:pPr>
              <w:jc w:val="right"/>
              <w:ind w:right="102"/>
              <w:spacing w:after="0"/>
              <w:rPr>
                <w:sz w:val="20"/>
                <w:szCs w:val="20"/>
                <w:color w:val="auto"/>
              </w:rPr>
            </w:pPr>
            <w:r>
              <w:rPr>
                <w:rFonts w:ascii="Arial" w:cs="Arial" w:eastAsia="Arial" w:hAnsi="Arial"/>
                <w:sz w:val="14"/>
                <w:szCs w:val="14"/>
                <w:b w:val="1"/>
                <w:bCs w:val="1"/>
                <w:color w:val="FFFFFF"/>
              </w:rPr>
              <w:t xml:space="preserve">Cash Bonus </w:t>
            </w:r>
            <w:r>
              <w:rPr>
                <w:rFonts w:ascii="Arial" w:cs="Arial" w:eastAsia="Arial" w:hAnsi="Arial"/>
                <w:sz w:val="7"/>
                <w:szCs w:val="7"/>
                <w:color w:val="000000"/>
                <w:vertAlign w:val="subscript"/>
              </w:rPr>
              <w:t>​</w:t>
            </w:r>
          </w:p>
        </w:tc>
        <w:tc>
          <w:tcPr>
            <w:tcW w:w="26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1120" w:type="dxa"/>
            <w:vAlign w:val="bottom"/>
            <w:shd w:val="clear" w:color="auto" w:fill="0063A6"/>
          </w:tcPr>
          <w:p>
            <w:pPr>
              <w:jc w:val="center"/>
              <w:ind w:left="5"/>
              <w:spacing w:after="0"/>
              <w:rPr>
                <w:sz w:val="20"/>
                <w:szCs w:val="20"/>
                <w:color w:val="auto"/>
              </w:rPr>
            </w:pPr>
            <w:r>
              <w:rPr>
                <w:rFonts w:ascii="Arial" w:cs="Arial" w:eastAsia="Arial" w:hAnsi="Arial"/>
                <w:sz w:val="14"/>
                <w:szCs w:val="14"/>
                <w:b w:val="1"/>
                <w:bCs w:val="1"/>
                <w:color w:val="FFFFFF"/>
              </w:rPr>
              <w:t>Accelerated</w:t>
            </w:r>
          </w:p>
        </w:tc>
        <w:tc>
          <w:tcPr>
            <w:tcW w:w="16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860" w:type="dxa"/>
            <w:vAlign w:val="bottom"/>
            <w:gridSpan w:val="2"/>
            <w:shd w:val="clear" w:color="auto" w:fill="0063A6"/>
          </w:tcPr>
          <w:p>
            <w:pPr>
              <w:ind w:left="120"/>
              <w:spacing w:after="0"/>
              <w:rPr>
                <w:sz w:val="20"/>
                <w:szCs w:val="20"/>
                <w:color w:val="auto"/>
              </w:rPr>
            </w:pPr>
            <w:r>
              <w:rPr>
                <w:rFonts w:ascii="Arial" w:cs="Arial" w:eastAsia="Arial" w:hAnsi="Arial"/>
                <w:sz w:val="14"/>
                <w:szCs w:val="14"/>
                <w:b w:val="1"/>
                <w:bCs w:val="1"/>
                <w:color w:val="FFFFFF"/>
              </w:rPr>
              <w:t xml:space="preserve">Value of </w:t>
            </w:r>
            <w:r>
              <w:rPr>
                <w:rFonts w:ascii="Arial" w:cs="Arial" w:eastAsia="Arial" w:hAnsi="Arial"/>
                <w:sz w:val="7"/>
                <w:szCs w:val="7"/>
                <w:color w:val="000000"/>
                <w:vertAlign w:val="subscript"/>
              </w:rPr>
              <w:t>​</w:t>
            </w:r>
          </w:p>
        </w:tc>
        <w:tc>
          <w:tcPr>
            <w:tcW w:w="24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jc w:val="right"/>
              <w:ind w:right="11"/>
              <w:spacing w:after="0"/>
              <w:rPr>
                <w:sz w:val="20"/>
                <w:szCs w:val="20"/>
                <w:color w:val="auto"/>
              </w:rPr>
            </w:pPr>
            <w:r>
              <w:rPr>
                <w:rFonts w:ascii="Arial" w:cs="Arial" w:eastAsia="Arial" w:hAnsi="Arial"/>
                <w:sz w:val="4"/>
                <w:szCs w:val="4"/>
                <w:color w:val="auto"/>
              </w:rPr>
              <w:t>​</w:t>
            </w:r>
          </w:p>
        </w:tc>
      </w:tr>
      <w:tr>
        <w:trPr>
          <w:trHeight w:val="157"/>
        </w:trPr>
        <w:tc>
          <w:tcPr>
            <w:tcW w:w="20" w:type="dxa"/>
            <w:vAlign w:val="bottom"/>
            <w:shd w:val="clear" w:color="auto" w:fill="0063A6"/>
          </w:tcPr>
          <w:p>
            <w:pPr>
              <w:spacing w:after="0"/>
              <w:rPr>
                <w:sz w:val="13"/>
                <w:szCs w:val="13"/>
                <w:color w:val="auto"/>
              </w:rPr>
            </w:pPr>
          </w:p>
        </w:tc>
        <w:tc>
          <w:tcPr>
            <w:tcW w:w="2180" w:type="dxa"/>
            <w:vAlign w:val="bottom"/>
            <w:shd w:val="clear" w:color="auto" w:fill="0063A6"/>
          </w:tcPr>
          <w:p>
            <w:pPr>
              <w:spacing w:after="0"/>
              <w:rPr>
                <w:sz w:val="13"/>
                <w:szCs w:val="13"/>
                <w:color w:val="auto"/>
              </w:rPr>
            </w:pPr>
          </w:p>
        </w:tc>
        <w:tc>
          <w:tcPr>
            <w:tcW w:w="820" w:type="dxa"/>
            <w:vAlign w:val="bottom"/>
            <w:shd w:val="clear" w:color="auto" w:fill="0063A6"/>
          </w:tcPr>
          <w:p>
            <w:pPr>
              <w:spacing w:after="0"/>
              <w:rPr>
                <w:sz w:val="13"/>
                <w:szCs w:val="13"/>
                <w:color w:val="auto"/>
              </w:rPr>
            </w:pPr>
          </w:p>
        </w:tc>
        <w:tc>
          <w:tcPr>
            <w:tcW w:w="240" w:type="dxa"/>
            <w:vAlign w:val="bottom"/>
            <w:shd w:val="clear" w:color="auto" w:fill="0063A6"/>
          </w:tcPr>
          <w:p>
            <w:pPr>
              <w:spacing w:after="0"/>
              <w:rPr>
                <w:sz w:val="13"/>
                <w:szCs w:val="13"/>
                <w:color w:val="auto"/>
              </w:rPr>
            </w:pPr>
          </w:p>
        </w:tc>
        <w:tc>
          <w:tcPr>
            <w:tcW w:w="960" w:type="dxa"/>
            <w:vAlign w:val="bottom"/>
            <w:shd w:val="clear" w:color="auto" w:fill="0063A6"/>
          </w:tcPr>
          <w:p>
            <w:pPr>
              <w:jc w:val="center"/>
              <w:ind w:left="3"/>
              <w:spacing w:after="0" w:line="157" w:lineRule="exact"/>
              <w:rPr>
                <w:sz w:val="20"/>
                <w:szCs w:val="20"/>
                <w:color w:val="auto"/>
              </w:rPr>
            </w:pPr>
            <w:r>
              <w:rPr>
                <w:rFonts w:ascii="Arial" w:cs="Arial" w:eastAsia="Arial" w:hAnsi="Arial"/>
                <w:sz w:val="14"/>
                <w:szCs w:val="14"/>
                <w:b w:val="1"/>
                <w:bCs w:val="1"/>
                <w:color w:val="FFFFFF"/>
              </w:rPr>
              <w:t>Component</w:t>
            </w:r>
          </w:p>
        </w:tc>
        <w:tc>
          <w:tcPr>
            <w:tcW w:w="140" w:type="dxa"/>
            <w:vAlign w:val="bottom"/>
            <w:shd w:val="clear" w:color="auto" w:fill="0063A6"/>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960" w:type="dxa"/>
            <w:vAlign w:val="bottom"/>
            <w:shd w:val="clear" w:color="auto" w:fill="0063A6"/>
          </w:tcPr>
          <w:p>
            <w:pPr>
              <w:jc w:val="center"/>
              <w:ind w:left="3"/>
              <w:spacing w:after="0" w:line="157" w:lineRule="exact"/>
              <w:rPr>
                <w:sz w:val="20"/>
                <w:szCs w:val="20"/>
                <w:color w:val="auto"/>
              </w:rPr>
            </w:pPr>
            <w:r>
              <w:rPr>
                <w:rFonts w:ascii="Arial" w:cs="Arial" w:eastAsia="Arial" w:hAnsi="Arial"/>
                <w:sz w:val="14"/>
                <w:szCs w:val="14"/>
                <w:b w:val="1"/>
                <w:bCs w:val="1"/>
                <w:color w:val="FFFFFF"/>
              </w:rPr>
              <w:t>Component</w:t>
            </w:r>
          </w:p>
        </w:tc>
        <w:tc>
          <w:tcPr>
            <w:tcW w:w="160" w:type="dxa"/>
            <w:vAlign w:val="bottom"/>
            <w:shd w:val="clear" w:color="auto" w:fill="0063A6"/>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1120" w:type="dxa"/>
            <w:vAlign w:val="bottom"/>
            <w:shd w:val="clear" w:color="auto" w:fill="0063A6"/>
          </w:tcPr>
          <w:p>
            <w:pPr>
              <w:jc w:val="center"/>
              <w:ind w:left="5"/>
              <w:spacing w:after="0" w:line="157" w:lineRule="exact"/>
              <w:rPr>
                <w:sz w:val="20"/>
                <w:szCs w:val="20"/>
                <w:color w:val="auto"/>
              </w:rPr>
            </w:pPr>
            <w:r>
              <w:rPr>
                <w:rFonts w:ascii="Arial" w:cs="Arial" w:eastAsia="Arial" w:hAnsi="Arial"/>
                <w:sz w:val="14"/>
                <w:szCs w:val="14"/>
                <w:b w:val="1"/>
                <w:bCs w:val="1"/>
                <w:color w:val="FFFFFF"/>
              </w:rPr>
              <w:t>Equity Awards</w:t>
            </w:r>
          </w:p>
        </w:tc>
        <w:tc>
          <w:tcPr>
            <w:tcW w:w="160" w:type="dxa"/>
            <w:vAlign w:val="bottom"/>
            <w:shd w:val="clear" w:color="auto" w:fill="0063A6"/>
          </w:tcPr>
          <w:p>
            <w:pPr>
              <w:spacing w:after="0"/>
              <w:rPr>
                <w:sz w:val="13"/>
                <w:szCs w:val="13"/>
                <w:color w:val="auto"/>
              </w:rPr>
            </w:pPr>
          </w:p>
        </w:tc>
        <w:tc>
          <w:tcPr>
            <w:tcW w:w="240" w:type="dxa"/>
            <w:vAlign w:val="bottom"/>
            <w:shd w:val="clear" w:color="auto" w:fill="0063A6"/>
          </w:tcPr>
          <w:p>
            <w:pPr>
              <w:spacing w:after="0"/>
              <w:rPr>
                <w:sz w:val="13"/>
                <w:szCs w:val="13"/>
                <w:color w:val="auto"/>
              </w:rPr>
            </w:pPr>
          </w:p>
        </w:tc>
        <w:tc>
          <w:tcPr>
            <w:tcW w:w="700" w:type="dxa"/>
            <w:vAlign w:val="bottom"/>
            <w:shd w:val="clear" w:color="auto" w:fill="0063A6"/>
          </w:tcPr>
          <w:p>
            <w:pPr>
              <w:ind w:left="120"/>
              <w:spacing w:after="0" w:line="157" w:lineRule="exact"/>
              <w:rPr>
                <w:sz w:val="20"/>
                <w:szCs w:val="20"/>
                <w:color w:val="auto"/>
              </w:rPr>
            </w:pPr>
            <w:r>
              <w:rPr>
                <w:rFonts w:ascii="Arial" w:cs="Arial" w:eastAsia="Arial" w:hAnsi="Arial"/>
                <w:sz w:val="14"/>
                <w:szCs w:val="14"/>
                <w:b w:val="1"/>
                <w:bCs w:val="1"/>
                <w:color w:val="FFFFFF"/>
              </w:rPr>
              <w:t>Benefits</w:t>
            </w:r>
          </w:p>
        </w:tc>
        <w:tc>
          <w:tcPr>
            <w:tcW w:w="160" w:type="dxa"/>
            <w:vAlign w:val="bottom"/>
            <w:shd w:val="clear" w:color="auto" w:fill="0063A6"/>
          </w:tcPr>
          <w:p>
            <w:pPr>
              <w:spacing w:after="0"/>
              <w:rPr>
                <w:sz w:val="13"/>
                <w:szCs w:val="13"/>
                <w:color w:val="auto"/>
              </w:rPr>
            </w:pPr>
          </w:p>
        </w:tc>
        <w:tc>
          <w:tcPr>
            <w:tcW w:w="240" w:type="dxa"/>
            <w:vAlign w:val="bottom"/>
            <w:shd w:val="clear" w:color="auto" w:fill="0063A6"/>
          </w:tcPr>
          <w:p>
            <w:pPr>
              <w:spacing w:after="0"/>
              <w:rPr>
                <w:sz w:val="13"/>
                <w:szCs w:val="13"/>
                <w:color w:val="auto"/>
              </w:rPr>
            </w:pPr>
          </w:p>
        </w:tc>
        <w:tc>
          <w:tcPr>
            <w:tcW w:w="940" w:type="dxa"/>
            <w:vAlign w:val="bottom"/>
            <w:shd w:val="clear" w:color="auto" w:fill="0063A6"/>
          </w:tcPr>
          <w:p>
            <w:pPr>
              <w:spacing w:after="0"/>
              <w:rPr>
                <w:sz w:val="13"/>
                <w:szCs w:val="13"/>
                <w:color w:val="auto"/>
              </w:rPr>
            </w:pPr>
          </w:p>
        </w:tc>
      </w:tr>
      <w:tr>
        <w:trPr>
          <w:trHeight w:val="283"/>
        </w:trPr>
        <w:tc>
          <w:tcPr>
            <w:tcW w:w="20" w:type="dxa"/>
            <w:vAlign w:val="bottom"/>
            <w:shd w:val="clear" w:color="auto" w:fill="0063A6"/>
          </w:tcPr>
          <w:p>
            <w:pPr>
              <w:spacing w:after="0"/>
              <w:rPr>
                <w:sz w:val="24"/>
                <w:szCs w:val="24"/>
                <w:color w:val="auto"/>
              </w:rPr>
            </w:pPr>
          </w:p>
        </w:tc>
        <w:tc>
          <w:tcPr>
            <w:tcW w:w="218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p>
        </w:tc>
        <w:tc>
          <w:tcPr>
            <w:tcW w:w="820" w:type="dxa"/>
            <w:vAlign w:val="bottom"/>
            <w:shd w:val="clear" w:color="auto" w:fill="0063A6"/>
          </w:tcPr>
          <w:p>
            <w:pPr>
              <w:spacing w:after="0"/>
              <w:rPr>
                <w:sz w:val="24"/>
                <w:szCs w:val="24"/>
                <w:color w:val="auto"/>
              </w:rPr>
            </w:pPr>
          </w:p>
        </w:tc>
        <w:tc>
          <w:tcPr>
            <w:tcW w:w="240" w:type="dxa"/>
            <w:vAlign w:val="bottom"/>
            <w:shd w:val="clear" w:color="auto" w:fill="0063A6"/>
          </w:tcPr>
          <w:p>
            <w:pPr>
              <w:spacing w:after="0"/>
              <w:rPr>
                <w:sz w:val="24"/>
                <w:szCs w:val="24"/>
                <w:color w:val="auto"/>
              </w:rPr>
            </w:pPr>
          </w:p>
        </w:tc>
        <w:tc>
          <w:tcPr>
            <w:tcW w:w="960" w:type="dxa"/>
            <w:vAlign w:val="bottom"/>
            <w:shd w:val="clear" w:color="auto" w:fill="0063A6"/>
          </w:tcPr>
          <w:p>
            <w:pPr>
              <w:jc w:val="center"/>
              <w:ind w:left="63"/>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0063A6"/>
          </w:tcPr>
          <w:p>
            <w:pPr>
              <w:spacing w:after="0"/>
              <w:rPr>
                <w:sz w:val="24"/>
                <w:szCs w:val="24"/>
                <w:color w:val="auto"/>
              </w:rPr>
            </w:pPr>
          </w:p>
        </w:tc>
        <w:tc>
          <w:tcPr>
            <w:tcW w:w="260" w:type="dxa"/>
            <w:vAlign w:val="bottom"/>
            <w:shd w:val="clear" w:color="auto" w:fill="0063A6"/>
          </w:tcPr>
          <w:p>
            <w:pPr>
              <w:spacing w:after="0"/>
              <w:rPr>
                <w:sz w:val="24"/>
                <w:szCs w:val="24"/>
                <w:color w:val="auto"/>
              </w:rPr>
            </w:pPr>
          </w:p>
        </w:tc>
        <w:tc>
          <w:tcPr>
            <w:tcW w:w="960" w:type="dxa"/>
            <w:vAlign w:val="bottom"/>
            <w:shd w:val="clear" w:color="auto" w:fill="0063A6"/>
          </w:tcPr>
          <w:p>
            <w:pPr>
              <w:jc w:val="center"/>
              <w:ind w:left="63"/>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3A6"/>
          </w:tcPr>
          <w:p>
            <w:pPr>
              <w:spacing w:after="0"/>
              <w:rPr>
                <w:sz w:val="24"/>
                <w:szCs w:val="24"/>
                <w:color w:val="auto"/>
              </w:rPr>
            </w:pPr>
          </w:p>
        </w:tc>
        <w:tc>
          <w:tcPr>
            <w:tcW w:w="260" w:type="dxa"/>
            <w:vAlign w:val="bottom"/>
            <w:shd w:val="clear" w:color="auto" w:fill="0063A6"/>
          </w:tcPr>
          <w:p>
            <w:pPr>
              <w:spacing w:after="0"/>
              <w:rPr>
                <w:sz w:val="24"/>
                <w:szCs w:val="24"/>
                <w:color w:val="auto"/>
              </w:rPr>
            </w:pPr>
          </w:p>
        </w:tc>
        <w:tc>
          <w:tcPr>
            <w:tcW w:w="1120" w:type="dxa"/>
            <w:vAlign w:val="bottom"/>
            <w:shd w:val="clear" w:color="auto" w:fill="0063A6"/>
          </w:tcPr>
          <w:p>
            <w:pPr>
              <w:jc w:val="center"/>
              <w:ind w:left="45"/>
              <w:spacing w:after="0" w:line="284"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(1)</w:t>
            </w:r>
          </w:p>
        </w:tc>
        <w:tc>
          <w:tcPr>
            <w:tcW w:w="160" w:type="dxa"/>
            <w:vAlign w:val="bottom"/>
            <w:shd w:val="clear" w:color="auto" w:fill="0063A6"/>
          </w:tcPr>
          <w:p>
            <w:pPr>
              <w:spacing w:after="0"/>
              <w:rPr>
                <w:sz w:val="24"/>
                <w:szCs w:val="24"/>
                <w:color w:val="auto"/>
              </w:rPr>
            </w:pPr>
          </w:p>
        </w:tc>
        <w:tc>
          <w:tcPr>
            <w:tcW w:w="240" w:type="dxa"/>
            <w:vAlign w:val="bottom"/>
            <w:shd w:val="clear" w:color="auto" w:fill="0063A6"/>
          </w:tcPr>
          <w:p>
            <w:pPr>
              <w:spacing w:after="0"/>
              <w:rPr>
                <w:sz w:val="24"/>
                <w:szCs w:val="24"/>
                <w:color w:val="auto"/>
              </w:rPr>
            </w:pPr>
          </w:p>
        </w:tc>
        <w:tc>
          <w:tcPr>
            <w:tcW w:w="70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3A6"/>
          </w:tcPr>
          <w:p>
            <w:pPr>
              <w:spacing w:after="0"/>
              <w:rPr>
                <w:sz w:val="24"/>
                <w:szCs w:val="24"/>
                <w:color w:val="auto"/>
              </w:rPr>
            </w:pPr>
          </w:p>
        </w:tc>
        <w:tc>
          <w:tcPr>
            <w:tcW w:w="240" w:type="dxa"/>
            <w:vAlign w:val="bottom"/>
            <w:shd w:val="clear" w:color="auto" w:fill="0063A6"/>
          </w:tcPr>
          <w:p>
            <w:pPr>
              <w:spacing w:after="0"/>
              <w:rPr>
                <w:sz w:val="24"/>
                <w:szCs w:val="24"/>
                <w:color w:val="auto"/>
              </w:rPr>
            </w:pPr>
          </w:p>
        </w:tc>
        <w:tc>
          <w:tcPr>
            <w:tcW w:w="940" w:type="dxa"/>
            <w:vAlign w:val="bottom"/>
            <w:shd w:val="clear" w:color="auto" w:fill="0063A6"/>
          </w:tcPr>
          <w:p>
            <w:pPr>
              <w:jc w:val="right"/>
              <w:ind w:right="111"/>
              <w:spacing w:after="0"/>
              <w:rPr>
                <w:sz w:val="20"/>
                <w:szCs w:val="20"/>
                <w:color w:val="auto"/>
              </w:rPr>
            </w:pPr>
            <w:r>
              <w:rPr>
                <w:rFonts w:ascii="Arial" w:cs="Arial" w:eastAsia="Arial" w:hAnsi="Arial"/>
                <w:sz w:val="14"/>
                <w:szCs w:val="14"/>
                <w:b w:val="1"/>
                <w:bCs w:val="1"/>
                <w:color w:val="FFFFFF"/>
              </w:rPr>
              <w:t>Total ($)</w:t>
            </w:r>
          </w:p>
        </w:tc>
      </w:tr>
      <w:tr>
        <w:trPr>
          <w:trHeight w:val="291"/>
        </w:trPr>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18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820" w:type="dxa"/>
            <w:vAlign w:val="bottom"/>
            <w:shd w:val="clear" w:color="auto" w:fill="F2F2F2"/>
          </w:tcPr>
          <w:p>
            <w:pPr>
              <w:ind w:left="70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rPr>
              <w:t>312,500</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6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1120" w:type="dxa"/>
            <w:vAlign w:val="bottom"/>
            <w:shd w:val="clear" w:color="auto" w:fill="F2F2F2"/>
          </w:tcPr>
          <w:p>
            <w:pPr>
              <w:jc w:val="center"/>
              <w:ind w:left="45"/>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10,503</w:t>
            </w:r>
          </w:p>
        </w:tc>
        <w:tc>
          <w:tcPr>
            <w:tcW w:w="1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right"/>
              <w:ind w:right="11"/>
              <w:spacing w:after="0"/>
              <w:rPr>
                <w:sz w:val="20"/>
                <w:szCs w:val="20"/>
                <w:color w:val="auto"/>
              </w:rPr>
            </w:pPr>
            <w:r>
              <w:rPr>
                <w:rFonts w:ascii="Arial" w:cs="Arial" w:eastAsia="Arial" w:hAnsi="Arial"/>
                <w:sz w:val="16"/>
                <w:szCs w:val="16"/>
                <w:color w:val="auto"/>
              </w:rPr>
              <w:t>323,003</w:t>
            </w:r>
            <w:r>
              <w:rPr>
                <w:rFonts w:ascii="Arial" w:cs="Arial" w:eastAsia="Arial" w:hAnsi="Arial"/>
                <w:sz w:val="3"/>
                <w:szCs w:val="3"/>
                <w:color w:val="auto"/>
              </w:rPr>
              <w:t>​</w:t>
            </w:r>
          </w:p>
        </w:tc>
      </w:tr>
      <w:tr>
        <w:trPr>
          <w:trHeight w:val="87"/>
        </w:trPr>
        <w:tc>
          <w:tcPr>
            <w:tcW w:w="20" w:type="dxa"/>
            <w:vAlign w:val="bottom"/>
            <w:shd w:val="clear" w:color="auto" w:fill="F2F2F2"/>
          </w:tcPr>
          <w:p>
            <w:pPr>
              <w:spacing w:after="0"/>
              <w:rPr>
                <w:sz w:val="7"/>
                <w:szCs w:val="7"/>
                <w:color w:val="auto"/>
              </w:rPr>
            </w:pPr>
          </w:p>
        </w:tc>
        <w:tc>
          <w:tcPr>
            <w:tcW w:w="218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70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940" w:type="dxa"/>
            <w:vAlign w:val="bottom"/>
            <w:shd w:val="clear" w:color="auto" w:fill="F2F2F2"/>
          </w:tcPr>
          <w:p>
            <w:pPr>
              <w:spacing w:after="0"/>
              <w:rPr>
                <w:sz w:val="7"/>
                <w:szCs w:val="7"/>
                <w:color w:val="auto"/>
              </w:rPr>
            </w:pPr>
          </w:p>
        </w:tc>
      </w:tr>
      <w:tr>
        <w:trPr>
          <w:trHeight w:val="291"/>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18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820" w:type="dxa"/>
            <w:vAlign w:val="bottom"/>
          </w:tcPr>
          <w:p>
            <w:pPr>
              <w:ind w:left="70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960" w:type="dxa"/>
            <w:vAlign w:val="bottom"/>
          </w:tcPr>
          <w:p>
            <w:pPr>
              <w:jc w:val="center"/>
              <w:ind w:left="3"/>
              <w:spacing w:after="0"/>
              <w:rPr>
                <w:sz w:val="20"/>
                <w:szCs w:val="20"/>
                <w:color w:val="auto"/>
              </w:rPr>
            </w:pPr>
            <w:r>
              <w:rPr>
                <w:rFonts w:ascii="Arial" w:cs="Arial" w:eastAsia="Arial" w:hAnsi="Arial"/>
                <w:sz w:val="16"/>
                <w:szCs w:val="16"/>
                <w:color w:val="auto"/>
              </w:rPr>
              <w:t>280,000</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960" w:type="dxa"/>
            <w:vAlign w:val="bottom"/>
          </w:tcPr>
          <w:p>
            <w:pPr>
              <w:jc w:val="center"/>
              <w:ind w:left="3"/>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120" w:type="dxa"/>
            <w:vAlign w:val="bottom"/>
          </w:tcPr>
          <w:p>
            <w:pPr>
              <w:jc w:val="center"/>
              <w:ind w:left="45"/>
              <w:spacing w:after="0"/>
              <w:rPr>
                <w:sz w:val="20"/>
                <w:szCs w:val="20"/>
                <w:color w:val="auto"/>
              </w:rPr>
            </w:pPr>
            <w:r>
              <w:rPr>
                <w:rFonts w:ascii="Arial" w:cs="Arial" w:eastAsia="Arial" w:hAnsi="Arial"/>
                <w:sz w:val="16"/>
                <w:szCs w:val="16"/>
                <w:color w:val="auto"/>
              </w:rPr>
              <w:t>956,275</w:t>
            </w:r>
          </w:p>
        </w:tc>
        <w:tc>
          <w:tcPr>
            <w:tcW w:w="160" w:type="dxa"/>
            <w:vAlign w:val="bottom"/>
          </w:tcPr>
          <w:p>
            <w:pPr>
              <w:ind w:left="2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00" w:type="dxa"/>
            <w:vAlign w:val="bottom"/>
          </w:tcPr>
          <w:p>
            <w:pPr>
              <w:ind w:left="140"/>
              <w:spacing w:after="0"/>
              <w:rPr>
                <w:sz w:val="20"/>
                <w:szCs w:val="20"/>
                <w:color w:val="auto"/>
              </w:rPr>
            </w:pPr>
            <w:r>
              <w:rPr>
                <w:rFonts w:ascii="Arial" w:cs="Arial" w:eastAsia="Arial" w:hAnsi="Arial"/>
                <w:sz w:val="16"/>
                <w:szCs w:val="16"/>
                <w:color w:val="auto"/>
              </w:rPr>
              <w:t>15,529</w:t>
            </w:r>
          </w:p>
        </w:tc>
        <w:tc>
          <w:tcPr>
            <w:tcW w:w="160" w:type="dxa"/>
            <w:vAlign w:val="bottom"/>
          </w:tcPr>
          <w:p>
            <w:pPr>
              <w:ind w:left="2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1"/>
              <w:spacing w:after="0"/>
              <w:rPr>
                <w:sz w:val="20"/>
                <w:szCs w:val="20"/>
                <w:color w:val="auto"/>
              </w:rPr>
            </w:pPr>
            <w:r>
              <w:rPr>
                <w:rFonts w:ascii="Arial" w:cs="Arial" w:eastAsia="Arial" w:hAnsi="Arial"/>
                <w:sz w:val="16"/>
                <w:szCs w:val="16"/>
                <w:color w:val="auto"/>
              </w:rPr>
              <w:t>1,251,804</w:t>
            </w:r>
            <w:r>
              <w:rPr>
                <w:rFonts w:ascii="Arial" w:cs="Arial" w:eastAsia="Arial" w:hAnsi="Arial"/>
                <w:sz w:val="3"/>
                <w:szCs w:val="3"/>
                <w:color w:val="auto"/>
              </w:rPr>
              <w:t>​</w:t>
            </w:r>
          </w:p>
        </w:tc>
      </w:tr>
      <w:tr>
        <w:trPr>
          <w:trHeight w:val="87"/>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91"/>
        </w:trPr>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218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820" w:type="dxa"/>
            <w:vAlign w:val="bottom"/>
            <w:shd w:val="clear" w:color="auto" w:fill="F2F2F2"/>
          </w:tcPr>
          <w:p>
            <w:pPr>
              <w:ind w:left="70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6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960" w:type="dxa"/>
            <w:vAlign w:val="bottom"/>
            <w:shd w:val="clear" w:color="auto" w:fill="F2F2F2"/>
          </w:tcPr>
          <w:p>
            <w:pPr>
              <w:jc w:val="center"/>
              <w:ind w:left="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1120" w:type="dxa"/>
            <w:vAlign w:val="bottom"/>
            <w:shd w:val="clear" w:color="auto" w:fill="F2F2F2"/>
          </w:tcPr>
          <w:p>
            <w:pPr>
              <w:jc w:val="center"/>
              <w:ind w:left="45"/>
              <w:spacing w:after="0"/>
              <w:rPr>
                <w:sz w:val="20"/>
                <w:szCs w:val="20"/>
                <w:color w:val="auto"/>
              </w:rPr>
            </w:pPr>
            <w:r>
              <w:rPr>
                <w:rFonts w:ascii="Arial" w:cs="Arial" w:eastAsia="Arial" w:hAnsi="Arial"/>
                <w:sz w:val="16"/>
                <w:szCs w:val="16"/>
                <w:color w:val="auto"/>
              </w:rPr>
              <w:t>1,473,029</w:t>
            </w:r>
          </w:p>
        </w:tc>
        <w:tc>
          <w:tcPr>
            <w:tcW w:w="1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700" w:type="dxa"/>
            <w:vAlign w:val="bottom"/>
            <w:shd w:val="clear" w:color="auto" w:fill="F2F2F2"/>
          </w:tcPr>
          <w:p>
            <w:pPr>
              <w:ind w:left="220"/>
              <w:spacing w:after="0"/>
              <w:rPr>
                <w:sz w:val="20"/>
                <w:szCs w:val="20"/>
                <w:color w:val="auto"/>
              </w:rPr>
            </w:pPr>
            <w:r>
              <w:rPr>
                <w:rFonts w:ascii="Arial" w:cs="Arial" w:eastAsia="Arial" w:hAnsi="Arial"/>
                <w:sz w:val="16"/>
                <w:szCs w:val="16"/>
                <w:color w:val="auto"/>
              </w:rPr>
              <w:t>9,202</w:t>
            </w:r>
          </w:p>
        </w:tc>
        <w:tc>
          <w:tcPr>
            <w:tcW w:w="1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right"/>
              <w:ind w:right="11"/>
              <w:spacing w:after="0"/>
              <w:rPr>
                <w:sz w:val="20"/>
                <w:szCs w:val="20"/>
                <w:color w:val="auto"/>
              </w:rPr>
            </w:pPr>
            <w:r>
              <w:rPr>
                <w:rFonts w:ascii="Arial" w:cs="Arial" w:eastAsia="Arial" w:hAnsi="Arial"/>
                <w:sz w:val="16"/>
                <w:szCs w:val="16"/>
                <w:color w:val="auto"/>
              </w:rPr>
              <w:t>1,782,231</w:t>
            </w:r>
            <w:r>
              <w:rPr>
                <w:rFonts w:ascii="Arial" w:cs="Arial" w:eastAsia="Arial" w:hAnsi="Arial"/>
                <w:sz w:val="3"/>
                <w:szCs w:val="3"/>
                <w:color w:val="auto"/>
              </w:rPr>
              <w:t>​</w:t>
            </w:r>
          </w:p>
        </w:tc>
      </w:tr>
      <w:tr>
        <w:trPr>
          <w:trHeight w:val="87"/>
        </w:trPr>
        <w:tc>
          <w:tcPr>
            <w:tcW w:w="20" w:type="dxa"/>
            <w:vAlign w:val="bottom"/>
            <w:shd w:val="clear" w:color="auto" w:fill="F2F2F2"/>
          </w:tcPr>
          <w:p>
            <w:pPr>
              <w:spacing w:after="0"/>
              <w:rPr>
                <w:sz w:val="7"/>
                <w:szCs w:val="7"/>
                <w:color w:val="auto"/>
              </w:rPr>
            </w:pPr>
          </w:p>
        </w:tc>
        <w:tc>
          <w:tcPr>
            <w:tcW w:w="218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70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940" w:type="dxa"/>
            <w:vAlign w:val="bottom"/>
            <w:shd w:val="clear" w:color="auto" w:fill="F2F2F2"/>
          </w:tcPr>
          <w:p>
            <w:pPr>
              <w:spacing w:after="0"/>
              <w:rPr>
                <w:sz w:val="7"/>
                <w:szCs w:val="7"/>
                <w:color w:val="auto"/>
              </w:rPr>
            </w:pPr>
          </w:p>
        </w:tc>
      </w:tr>
      <w:tr>
        <w:trPr>
          <w:trHeight w:val="291"/>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218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820" w:type="dxa"/>
            <w:vAlign w:val="bottom"/>
          </w:tcPr>
          <w:p>
            <w:pPr>
              <w:ind w:left="70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960" w:type="dxa"/>
            <w:vAlign w:val="bottom"/>
          </w:tcPr>
          <w:p>
            <w:pPr>
              <w:jc w:val="center"/>
              <w:ind w:left="3"/>
              <w:spacing w:after="0"/>
              <w:rPr>
                <w:sz w:val="20"/>
                <w:szCs w:val="20"/>
                <w:color w:val="auto"/>
              </w:rPr>
            </w:pPr>
            <w:r>
              <w:rPr>
                <w:rFonts w:ascii="Arial" w:cs="Arial" w:eastAsia="Arial" w:hAnsi="Arial"/>
                <w:sz w:val="16"/>
                <w:szCs w:val="16"/>
                <w:color w:val="auto"/>
              </w:rPr>
              <w:t>237,500</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960" w:type="dxa"/>
            <w:vAlign w:val="bottom"/>
          </w:tcPr>
          <w:p>
            <w:pPr>
              <w:jc w:val="center"/>
              <w:ind w:left="3"/>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60" w:type="dxa"/>
            <w:vAlign w:val="bottom"/>
          </w:tcPr>
          <w:p>
            <w:pPr>
              <w:ind w:left="140"/>
              <w:spacing w:after="0"/>
              <w:rPr>
                <w:sz w:val="20"/>
                <w:szCs w:val="20"/>
                <w:color w:val="auto"/>
              </w:rPr>
            </w:pPr>
            <w:r>
              <w:rPr>
                <w:rFonts w:ascii="Arial" w:cs="Arial" w:eastAsia="Arial" w:hAnsi="Arial"/>
                <w:sz w:val="4"/>
                <w:szCs w:val="4"/>
                <w:color w:val="auto"/>
              </w:rPr>
              <w:t>​</w:t>
            </w:r>
          </w:p>
        </w:tc>
        <w:tc>
          <w:tcPr>
            <w:tcW w:w="1120" w:type="dxa"/>
            <w:vAlign w:val="bottom"/>
          </w:tcPr>
          <w:p>
            <w:pPr>
              <w:jc w:val="center"/>
              <w:ind w:left="45"/>
              <w:spacing w:after="0"/>
              <w:rPr>
                <w:sz w:val="20"/>
                <w:szCs w:val="20"/>
                <w:color w:val="auto"/>
              </w:rPr>
            </w:pPr>
            <w:r>
              <w:rPr>
                <w:rFonts w:ascii="Arial" w:cs="Arial" w:eastAsia="Arial" w:hAnsi="Arial"/>
                <w:sz w:val="16"/>
                <w:szCs w:val="16"/>
                <w:color w:val="auto"/>
              </w:rPr>
              <w:t>1,250,740</w:t>
            </w:r>
          </w:p>
        </w:tc>
        <w:tc>
          <w:tcPr>
            <w:tcW w:w="160" w:type="dxa"/>
            <w:vAlign w:val="bottom"/>
          </w:tcPr>
          <w:p>
            <w:pPr>
              <w:ind w:left="2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00" w:type="dxa"/>
            <w:vAlign w:val="bottom"/>
          </w:tcPr>
          <w:p>
            <w:pPr>
              <w:ind w:left="140"/>
              <w:spacing w:after="0"/>
              <w:rPr>
                <w:sz w:val="20"/>
                <w:szCs w:val="20"/>
                <w:color w:val="auto"/>
              </w:rPr>
            </w:pPr>
            <w:r>
              <w:rPr>
                <w:rFonts w:ascii="Arial" w:cs="Arial" w:eastAsia="Arial" w:hAnsi="Arial"/>
                <w:sz w:val="16"/>
                <w:szCs w:val="16"/>
                <w:color w:val="auto"/>
              </w:rPr>
              <w:t>15,529</w:t>
            </w:r>
          </w:p>
        </w:tc>
        <w:tc>
          <w:tcPr>
            <w:tcW w:w="160" w:type="dxa"/>
            <w:vAlign w:val="bottom"/>
          </w:tcPr>
          <w:p>
            <w:pPr>
              <w:ind w:left="2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1"/>
              <w:spacing w:after="0"/>
              <w:rPr>
                <w:sz w:val="20"/>
                <w:szCs w:val="20"/>
                <w:color w:val="auto"/>
              </w:rPr>
            </w:pPr>
            <w:r>
              <w:rPr>
                <w:rFonts w:ascii="Arial" w:cs="Arial" w:eastAsia="Arial" w:hAnsi="Arial"/>
                <w:sz w:val="16"/>
                <w:szCs w:val="16"/>
                <w:color w:val="auto"/>
              </w:rPr>
              <w:t>1,503,769</w:t>
            </w:r>
            <w:r>
              <w:rPr>
                <w:rFonts w:ascii="Arial" w:cs="Arial" w:eastAsia="Arial" w:hAnsi="Arial"/>
                <w:sz w:val="3"/>
                <w:szCs w:val="3"/>
                <w:color w:val="auto"/>
              </w:rPr>
              <w:t>​</w:t>
            </w:r>
          </w:p>
        </w:tc>
      </w:tr>
    </w:tbl>
    <w:p>
      <w:pPr>
        <w:spacing w:after="0" w:line="92" w:lineRule="exact"/>
        <w:rPr>
          <w:sz w:val="20"/>
          <w:szCs w:val="20"/>
          <w:color w:val="auto"/>
        </w:rPr>
      </w:pPr>
    </w:p>
    <w:p>
      <w:pPr>
        <w:ind w:left="244" w:hanging="244"/>
        <w:spacing w:after="0"/>
        <w:tabs>
          <w:tab w:leader="none" w:pos="244"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Value based on a per share price of $22.38, which was the closing price as reported on December 30, 2022, the last trading day of the year.</w:t>
      </w:r>
    </w:p>
    <w:p>
      <w:pPr>
        <w:spacing w:after="0" w:line="149"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The following table describes the payments that would have been provided for each of our named executive officers upon termination of employment in connection with a change in control of Dropbox as described above, assuming such termination had occurred on December 31, 2022. Mr. Young’s employment ended on March 15, 2023, and he did not receive any severance or vesting acceleration in connection with the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077585" cy="1560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7585" cy="1560195"/>
                    </a:xfrm>
                    <a:prstGeom prst="rect">
                      <a:avLst/>
                    </a:prstGeom>
                    <a:noFill/>
                  </pic:spPr>
                </pic:pic>
              </a:graphicData>
            </a:graphic>
          </wp:anchor>
        </w:drawing>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0" w:type="dxa"/>
            <w:vAlign w:val="bottom"/>
            <w:shd w:val="clear" w:color="auto" w:fill="0063A6"/>
          </w:tcPr>
          <w:p>
            <w:pPr>
              <w:spacing w:after="0"/>
              <w:rPr>
                <w:sz w:val="22"/>
                <w:szCs w:val="22"/>
                <w:color w:val="auto"/>
              </w:rPr>
            </w:pPr>
          </w:p>
        </w:tc>
        <w:tc>
          <w:tcPr>
            <w:tcW w:w="1940" w:type="dxa"/>
            <w:vAlign w:val="bottom"/>
            <w:shd w:val="clear" w:color="auto" w:fill="0063A6"/>
          </w:tcPr>
          <w:p>
            <w:pPr>
              <w:spacing w:after="0"/>
              <w:rPr>
                <w:sz w:val="22"/>
                <w:szCs w:val="22"/>
                <w:color w:val="auto"/>
              </w:rPr>
            </w:pPr>
          </w:p>
        </w:tc>
        <w:tc>
          <w:tcPr>
            <w:tcW w:w="580" w:type="dxa"/>
            <w:vAlign w:val="bottom"/>
            <w:shd w:val="clear" w:color="auto" w:fill="0063A6"/>
          </w:tcPr>
          <w:p>
            <w:pPr>
              <w:spacing w:after="0"/>
              <w:rPr>
                <w:sz w:val="22"/>
                <w:szCs w:val="22"/>
                <w:color w:val="auto"/>
              </w:rPr>
            </w:pPr>
          </w:p>
        </w:tc>
        <w:tc>
          <w:tcPr>
            <w:tcW w:w="160" w:type="dxa"/>
            <w:vAlign w:val="bottom"/>
            <w:shd w:val="clear" w:color="auto" w:fill="0063A6"/>
          </w:tcPr>
          <w:p>
            <w:pPr>
              <w:spacing w:after="0"/>
              <w:rPr>
                <w:sz w:val="22"/>
                <w:szCs w:val="22"/>
                <w:color w:val="auto"/>
              </w:rPr>
            </w:pPr>
          </w:p>
        </w:tc>
        <w:tc>
          <w:tcPr>
            <w:tcW w:w="92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94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11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74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66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880" w:type="dxa"/>
            <w:vAlign w:val="bottom"/>
            <w:shd w:val="clear" w:color="auto" w:fill="0063A6"/>
          </w:tcPr>
          <w:p>
            <w:pPr>
              <w:spacing w:after="0"/>
              <w:rPr>
                <w:sz w:val="22"/>
                <w:szCs w:val="22"/>
                <w:color w:val="auto"/>
              </w:rPr>
            </w:pPr>
          </w:p>
        </w:tc>
        <w:tc>
          <w:tcPr>
            <w:tcW w:w="12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0063A6"/>
          </w:tcPr>
          <w:p>
            <w:pPr>
              <w:spacing w:after="0"/>
              <w:rPr>
                <w:sz w:val="20"/>
                <w:szCs w:val="20"/>
                <w:color w:val="auto"/>
              </w:rPr>
            </w:pPr>
            <w:r>
              <w:rPr>
                <w:rFonts w:ascii="Arial" w:cs="Arial" w:eastAsia="Arial" w:hAnsi="Arial"/>
                <w:sz w:val="2"/>
                <w:szCs w:val="2"/>
                <w:color w:val="auto"/>
                <w:w w:val="4294942296"/>
              </w:rPr>
              <w:t>​</w:t>
            </w:r>
          </w:p>
        </w:tc>
        <w:tc>
          <w:tcPr>
            <w:tcW w:w="1940" w:type="dxa"/>
            <w:vAlign w:val="bottom"/>
            <w:shd w:val="clear" w:color="auto" w:fill="0063A6"/>
          </w:tcPr>
          <w:p>
            <w:pPr>
              <w:spacing w:after="0"/>
              <w:rPr>
                <w:sz w:val="15"/>
                <w:szCs w:val="15"/>
                <w:color w:val="auto"/>
              </w:rPr>
            </w:pPr>
          </w:p>
        </w:tc>
        <w:tc>
          <w:tcPr>
            <w:tcW w:w="580" w:type="dxa"/>
            <w:vAlign w:val="bottom"/>
            <w:shd w:val="clear" w:color="auto" w:fill="0063A6"/>
          </w:tcPr>
          <w:p>
            <w:pPr>
              <w:ind w:left="480"/>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04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Base Salary </w:t>
            </w:r>
            <w:r>
              <w:rPr>
                <w:rFonts w:ascii="Arial" w:cs="Arial" w:eastAsia="Arial" w:hAnsi="Arial"/>
                <w:sz w:val="7"/>
                <w:szCs w:val="7"/>
                <w:color w:val="000000"/>
                <w:vertAlign w:val="subscript"/>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1060" w:type="dxa"/>
            <w:vAlign w:val="bottom"/>
            <w:gridSpan w:val="2"/>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Cash Bonus </w:t>
            </w:r>
            <w:r>
              <w:rPr>
                <w:rFonts w:ascii="Arial" w:cs="Arial" w:eastAsia="Arial" w:hAnsi="Arial"/>
                <w:sz w:val="7"/>
                <w:szCs w:val="7"/>
                <w:color w:val="000000"/>
                <w:vertAlign w:val="subscript"/>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11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Accelerated</w:t>
            </w:r>
          </w:p>
        </w:tc>
        <w:tc>
          <w:tcPr>
            <w:tcW w:w="120" w:type="dxa"/>
            <w:vAlign w:val="bottom"/>
            <w:shd w:val="clear" w:color="auto" w:fill="0063A6"/>
          </w:tcPr>
          <w:p>
            <w:pPr>
              <w:jc w:val="right"/>
              <w:ind w:right="9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280G</w:t>
            </w:r>
          </w:p>
        </w:tc>
        <w:tc>
          <w:tcPr>
            <w:tcW w:w="12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8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780" w:type="dxa"/>
            <w:vAlign w:val="bottom"/>
            <w:gridSpan w:val="2"/>
            <w:shd w:val="clear" w:color="auto" w:fill="0063A6"/>
          </w:tcPr>
          <w:p>
            <w:pPr>
              <w:ind w:left="80"/>
              <w:spacing w:after="0"/>
              <w:rPr>
                <w:sz w:val="20"/>
                <w:szCs w:val="20"/>
                <w:color w:val="auto"/>
              </w:rPr>
            </w:pPr>
            <w:r>
              <w:rPr>
                <w:rFonts w:ascii="Arial" w:cs="Arial" w:eastAsia="Arial" w:hAnsi="Arial"/>
                <w:sz w:val="14"/>
                <w:szCs w:val="14"/>
                <w:b w:val="1"/>
                <w:bCs w:val="1"/>
                <w:color w:val="FFFFFF"/>
              </w:rPr>
              <w:t xml:space="preserve">Value of </w:t>
            </w:r>
            <w:r>
              <w:rPr>
                <w:rFonts w:ascii="Arial" w:cs="Arial" w:eastAsia="Arial" w:hAnsi="Arial"/>
                <w:sz w:val="7"/>
                <w:szCs w:val="7"/>
                <w:color w:val="000000"/>
                <w:vertAlign w:val="subscript"/>
              </w:rPr>
              <w:t>​</w:t>
            </w:r>
          </w:p>
        </w:tc>
        <w:tc>
          <w:tcPr>
            <w:tcW w:w="18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880" w:type="dxa"/>
            <w:vAlign w:val="bottom"/>
            <w:shd w:val="clear" w:color="auto" w:fill="0063A6"/>
          </w:tcPr>
          <w:p>
            <w:pPr>
              <w:spacing w:after="0"/>
              <w:rPr>
                <w:sz w:val="15"/>
                <w:szCs w:val="15"/>
                <w:color w:val="auto"/>
              </w:rPr>
            </w:pPr>
          </w:p>
        </w:tc>
        <w:tc>
          <w:tcPr>
            <w:tcW w:w="120" w:type="dxa"/>
            <w:vAlign w:val="bottom"/>
            <w:shd w:val="clear" w:color="auto" w:fill="0063A6"/>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57"/>
        </w:trPr>
        <w:tc>
          <w:tcPr>
            <w:tcW w:w="20" w:type="dxa"/>
            <w:vAlign w:val="bottom"/>
            <w:shd w:val="clear" w:color="auto" w:fill="0063A6"/>
          </w:tcPr>
          <w:p>
            <w:pPr>
              <w:spacing w:after="0"/>
              <w:rPr>
                <w:sz w:val="13"/>
                <w:szCs w:val="13"/>
                <w:color w:val="auto"/>
              </w:rPr>
            </w:pPr>
          </w:p>
        </w:tc>
        <w:tc>
          <w:tcPr>
            <w:tcW w:w="1940" w:type="dxa"/>
            <w:vAlign w:val="bottom"/>
            <w:vMerge w:val="restart"/>
            <w:shd w:val="clear" w:color="auto" w:fill="0063A6"/>
          </w:tcPr>
          <w:p>
            <w:pPr>
              <w:ind w:left="4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580" w:type="dxa"/>
            <w:vAlign w:val="bottom"/>
            <w:shd w:val="clear" w:color="auto" w:fill="0063A6"/>
          </w:tcPr>
          <w:p>
            <w:pPr>
              <w:spacing w:after="0"/>
              <w:rPr>
                <w:sz w:val="13"/>
                <w:szCs w:val="13"/>
                <w:color w:val="auto"/>
              </w:rPr>
            </w:pPr>
          </w:p>
        </w:tc>
        <w:tc>
          <w:tcPr>
            <w:tcW w:w="160" w:type="dxa"/>
            <w:vAlign w:val="bottom"/>
            <w:shd w:val="clear" w:color="auto" w:fill="0063A6"/>
          </w:tcPr>
          <w:p>
            <w:pPr>
              <w:spacing w:after="0"/>
              <w:rPr>
                <w:sz w:val="13"/>
                <w:szCs w:val="13"/>
                <w:color w:val="auto"/>
              </w:rPr>
            </w:pPr>
          </w:p>
        </w:tc>
        <w:tc>
          <w:tcPr>
            <w:tcW w:w="920" w:type="dxa"/>
            <w:vAlign w:val="bottom"/>
            <w:shd w:val="clear" w:color="auto" w:fill="0063A6"/>
          </w:tcPr>
          <w:p>
            <w:pPr>
              <w:jc w:val="center"/>
              <w:ind w:left="3"/>
              <w:spacing w:after="0" w:line="157" w:lineRule="exact"/>
              <w:rPr>
                <w:sz w:val="20"/>
                <w:szCs w:val="20"/>
                <w:color w:val="auto"/>
              </w:rPr>
            </w:pPr>
            <w:r>
              <w:rPr>
                <w:rFonts w:ascii="Arial" w:cs="Arial" w:eastAsia="Arial" w:hAnsi="Arial"/>
                <w:sz w:val="14"/>
                <w:szCs w:val="14"/>
                <w:b w:val="1"/>
                <w:bCs w:val="1"/>
                <w:color w:val="FFFFFF"/>
              </w:rPr>
              <w:t>Component</w:t>
            </w:r>
          </w:p>
        </w:tc>
        <w:tc>
          <w:tcPr>
            <w:tcW w:w="12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94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Component</w:t>
            </w:r>
          </w:p>
        </w:tc>
        <w:tc>
          <w:tcPr>
            <w:tcW w:w="12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110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Equity Awards</w:t>
            </w:r>
          </w:p>
        </w:tc>
        <w:tc>
          <w:tcPr>
            <w:tcW w:w="12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740" w:type="dxa"/>
            <w:vAlign w:val="bottom"/>
            <w:shd w:val="clear" w:color="auto" w:fill="0063A6"/>
          </w:tcPr>
          <w:p>
            <w:pPr>
              <w:jc w:val="center"/>
              <w:spacing w:after="0" w:line="157" w:lineRule="exact"/>
              <w:rPr>
                <w:sz w:val="20"/>
                <w:szCs w:val="20"/>
                <w:color w:val="auto"/>
              </w:rPr>
            </w:pPr>
            <w:r>
              <w:rPr>
                <w:rFonts w:ascii="Arial" w:cs="Arial" w:eastAsia="Arial" w:hAnsi="Arial"/>
                <w:sz w:val="14"/>
                <w:szCs w:val="14"/>
                <w:b w:val="1"/>
                <w:bCs w:val="1"/>
                <w:color w:val="FFFFFF"/>
              </w:rPr>
              <w:t>Gross-up</w:t>
            </w:r>
          </w:p>
        </w:tc>
        <w:tc>
          <w:tcPr>
            <w:tcW w:w="12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660" w:type="dxa"/>
            <w:vAlign w:val="bottom"/>
            <w:shd w:val="clear" w:color="auto" w:fill="0063A6"/>
          </w:tcPr>
          <w:p>
            <w:pPr>
              <w:ind w:left="80"/>
              <w:spacing w:after="0" w:line="157" w:lineRule="exact"/>
              <w:rPr>
                <w:sz w:val="20"/>
                <w:szCs w:val="20"/>
                <w:color w:val="auto"/>
              </w:rPr>
            </w:pPr>
            <w:r>
              <w:rPr>
                <w:rFonts w:ascii="Arial" w:cs="Arial" w:eastAsia="Arial" w:hAnsi="Arial"/>
                <w:sz w:val="14"/>
                <w:szCs w:val="14"/>
                <w:b w:val="1"/>
                <w:bCs w:val="1"/>
                <w:color w:val="FFFFFF"/>
              </w:rPr>
              <w:t>Benefits</w:t>
            </w:r>
          </w:p>
        </w:tc>
        <w:tc>
          <w:tcPr>
            <w:tcW w:w="120" w:type="dxa"/>
            <w:vAlign w:val="bottom"/>
            <w:shd w:val="clear" w:color="auto" w:fill="0063A6"/>
          </w:tcPr>
          <w:p>
            <w:pPr>
              <w:spacing w:after="0"/>
              <w:rPr>
                <w:sz w:val="13"/>
                <w:szCs w:val="13"/>
                <w:color w:val="auto"/>
              </w:rPr>
            </w:pPr>
          </w:p>
        </w:tc>
        <w:tc>
          <w:tcPr>
            <w:tcW w:w="180" w:type="dxa"/>
            <w:vAlign w:val="bottom"/>
            <w:shd w:val="clear" w:color="auto" w:fill="0063A6"/>
          </w:tcPr>
          <w:p>
            <w:pPr>
              <w:spacing w:after="0"/>
              <w:rPr>
                <w:sz w:val="13"/>
                <w:szCs w:val="13"/>
                <w:color w:val="auto"/>
              </w:rPr>
            </w:pPr>
          </w:p>
        </w:tc>
        <w:tc>
          <w:tcPr>
            <w:tcW w:w="880" w:type="dxa"/>
            <w:vAlign w:val="bottom"/>
            <w:shd w:val="clear" w:color="auto" w:fill="0063A6"/>
          </w:tcPr>
          <w:p>
            <w:pPr>
              <w:spacing w:after="0"/>
              <w:rPr>
                <w:sz w:val="13"/>
                <w:szCs w:val="13"/>
                <w:color w:val="auto"/>
              </w:rPr>
            </w:pPr>
          </w:p>
        </w:tc>
        <w:tc>
          <w:tcPr>
            <w:tcW w:w="1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0063A6"/>
          </w:tcPr>
          <w:p>
            <w:pPr>
              <w:spacing w:after="0"/>
              <w:rPr>
                <w:sz w:val="24"/>
                <w:szCs w:val="24"/>
                <w:color w:val="auto"/>
              </w:rPr>
            </w:pPr>
          </w:p>
        </w:tc>
        <w:tc>
          <w:tcPr>
            <w:tcW w:w="1940" w:type="dxa"/>
            <w:vAlign w:val="bottom"/>
            <w:vMerge w:val="continue"/>
            <w:shd w:val="clear" w:color="auto" w:fill="0063A6"/>
          </w:tcPr>
          <w:p>
            <w:pPr>
              <w:spacing w:after="0"/>
              <w:rPr>
                <w:sz w:val="24"/>
                <w:szCs w:val="24"/>
                <w:color w:val="auto"/>
              </w:rPr>
            </w:pPr>
          </w:p>
        </w:tc>
        <w:tc>
          <w:tcPr>
            <w:tcW w:w="58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920" w:type="dxa"/>
            <w:vAlign w:val="bottom"/>
            <w:shd w:val="clear" w:color="auto" w:fill="0063A6"/>
          </w:tcPr>
          <w:p>
            <w:pPr>
              <w:jc w:val="center"/>
              <w:ind w:left="23"/>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63A6"/>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940" w:type="dxa"/>
            <w:vAlign w:val="bottom"/>
            <w:shd w:val="clear" w:color="auto" w:fill="0063A6"/>
          </w:tcPr>
          <w:p>
            <w:pPr>
              <w:jc w:val="center"/>
              <w:ind w:left="23"/>
              <w:spacing w:after="0"/>
              <w:rPr>
                <w:sz w:val="20"/>
                <w:szCs w:val="20"/>
                <w:color w:val="auto"/>
              </w:rPr>
            </w:pPr>
            <w:r>
              <w:rPr>
                <w:rFonts w:ascii="Arial" w:cs="Arial" w:eastAsia="Arial" w:hAnsi="Arial"/>
                <w:sz w:val="14"/>
                <w:szCs w:val="14"/>
                <w:b w:val="1"/>
                <w:bCs w:val="1"/>
                <w:color w:val="FFFFFF"/>
                <w:w w:val="93"/>
              </w:rPr>
              <w:t>($)</w:t>
            </w:r>
          </w:p>
        </w:tc>
        <w:tc>
          <w:tcPr>
            <w:tcW w:w="120" w:type="dxa"/>
            <w:vAlign w:val="bottom"/>
            <w:shd w:val="clear" w:color="auto" w:fill="0063A6"/>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1100" w:type="dxa"/>
            <w:vAlign w:val="bottom"/>
            <w:shd w:val="clear" w:color="auto" w:fill="0063A6"/>
          </w:tcPr>
          <w:p>
            <w:pPr>
              <w:jc w:val="center"/>
              <w:ind w:left="25"/>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120" w:type="dxa"/>
            <w:vAlign w:val="bottom"/>
            <w:shd w:val="clear" w:color="auto" w:fill="0063A6"/>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740" w:type="dxa"/>
            <w:vAlign w:val="bottom"/>
            <w:shd w:val="clear" w:color="auto" w:fill="0063A6"/>
          </w:tcPr>
          <w:p>
            <w:pPr>
              <w:jc w:val="center"/>
              <w:ind w:left="3"/>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63A6"/>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660" w:type="dxa"/>
            <w:vAlign w:val="bottom"/>
            <w:shd w:val="clear" w:color="auto" w:fill="0063A6"/>
          </w:tcPr>
          <w:p>
            <w:pPr>
              <w:ind w:left="280"/>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63A6"/>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880" w:type="dxa"/>
            <w:vAlign w:val="bottom"/>
            <w:shd w:val="clear" w:color="auto" w:fill="0063A6"/>
          </w:tcPr>
          <w:p>
            <w:pPr>
              <w:jc w:val="center"/>
              <w:ind w:left="21"/>
              <w:spacing w:after="0"/>
              <w:rPr>
                <w:sz w:val="20"/>
                <w:szCs w:val="20"/>
                <w:color w:val="auto"/>
              </w:rPr>
            </w:pPr>
            <w:r>
              <w:rPr>
                <w:rFonts w:ascii="Arial" w:cs="Arial" w:eastAsia="Arial" w:hAnsi="Arial"/>
                <w:sz w:val="14"/>
                <w:szCs w:val="14"/>
                <w:b w:val="1"/>
                <w:bCs w:val="1"/>
                <w:color w:val="FFFFFF"/>
                <w:w w:val="99"/>
              </w:rPr>
              <w:t>Total ($)</w:t>
            </w:r>
          </w:p>
        </w:tc>
        <w:tc>
          <w:tcPr>
            <w:tcW w:w="1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1940" w:type="dxa"/>
            <w:vAlign w:val="bottom"/>
            <w:shd w:val="clear" w:color="auto" w:fill="F2F2F2"/>
          </w:tcPr>
          <w:p>
            <w:pPr>
              <w:ind w:left="40"/>
              <w:spacing w:after="0"/>
              <w:rPr>
                <w:sz w:val="20"/>
                <w:szCs w:val="20"/>
                <w:color w:val="auto"/>
              </w:rPr>
            </w:pPr>
            <w:r>
              <w:rPr>
                <w:rFonts w:ascii="Arial" w:cs="Arial" w:eastAsia="Arial" w:hAnsi="Arial"/>
                <w:sz w:val="16"/>
                <w:szCs w:val="16"/>
                <w:color w:val="auto"/>
              </w:rPr>
              <w:t>Andrew W. Houston</w:t>
            </w:r>
          </w:p>
        </w:tc>
        <w:tc>
          <w:tcPr>
            <w:tcW w:w="580" w:type="dxa"/>
            <w:vAlign w:val="bottom"/>
            <w:shd w:val="clear" w:color="auto" w:fill="F2F2F2"/>
          </w:tcPr>
          <w:p>
            <w:pPr>
              <w:ind w:left="48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jc w:val="center"/>
              <w:ind w:left="25"/>
              <w:spacing w:after="0"/>
              <w:rPr>
                <w:sz w:val="20"/>
                <w:szCs w:val="20"/>
                <w:color w:val="auto"/>
              </w:rPr>
            </w:pPr>
            <w:r>
              <w:rPr>
                <w:rFonts w:ascii="Arial" w:cs="Arial" w:eastAsia="Arial" w:hAnsi="Arial"/>
                <w:sz w:val="32"/>
                <w:szCs w:val="32"/>
                <w:color w:val="auto"/>
                <w:w w:val="85"/>
                <w:vertAlign w:val="subscript"/>
              </w:rPr>
              <w:t>—</w:t>
            </w:r>
            <w:r>
              <w:rPr>
                <w:rFonts w:ascii="Arial" w:cs="Arial" w:eastAsia="Arial" w:hAnsi="Arial"/>
                <w:sz w:val="13"/>
                <w:szCs w:val="13"/>
                <w:color w:val="auto"/>
                <w:w w:val="85"/>
              </w:rPr>
              <w:t>(3)</w:t>
            </w:r>
          </w:p>
        </w:tc>
        <w:tc>
          <w:tcPr>
            <w:tcW w:w="120" w:type="dxa"/>
            <w:vAlign w:val="bottom"/>
            <w:shd w:val="clear" w:color="auto" w:fill="F2F2F2"/>
          </w:tcPr>
          <w:p>
            <w:pPr>
              <w:jc w:val="right"/>
              <w:ind w:right="91"/>
              <w:spacing w:after="0"/>
              <w:rPr>
                <w:sz w:val="20"/>
                <w:szCs w:val="20"/>
                <w:color w:val="auto"/>
              </w:rPr>
            </w:pPr>
            <w:r>
              <w:rPr>
                <w:rFonts w:ascii="Arial" w:cs="Arial" w:eastAsia="Arial" w:hAnsi="Arial"/>
                <w:sz w:val="2"/>
                <w:szCs w:val="2"/>
                <w:color w:val="auto"/>
                <w:w w:val="4294942296"/>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21,007</w:t>
            </w:r>
          </w:p>
        </w:tc>
        <w:tc>
          <w:tcPr>
            <w:tcW w:w="1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880" w:type="dxa"/>
            <w:vAlign w:val="bottom"/>
            <w:shd w:val="clear" w:color="auto" w:fill="F2F2F2"/>
          </w:tcPr>
          <w:p>
            <w:pPr>
              <w:jc w:val="center"/>
              <w:ind w:left="41"/>
              <w:spacing w:after="0"/>
              <w:rPr>
                <w:sz w:val="20"/>
                <w:szCs w:val="20"/>
                <w:color w:val="auto"/>
              </w:rPr>
            </w:pPr>
            <w:r>
              <w:rPr>
                <w:rFonts w:ascii="Arial" w:cs="Arial" w:eastAsia="Arial" w:hAnsi="Arial"/>
                <w:sz w:val="16"/>
                <w:szCs w:val="16"/>
                <w:color w:val="auto"/>
              </w:rPr>
              <w:t>1,271,007</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1940" w:type="dxa"/>
            <w:vAlign w:val="bottom"/>
          </w:tcPr>
          <w:p>
            <w:pPr>
              <w:ind w:left="40"/>
              <w:spacing w:after="0"/>
              <w:rPr>
                <w:sz w:val="20"/>
                <w:szCs w:val="20"/>
                <w:color w:val="auto"/>
              </w:rPr>
            </w:pPr>
            <w:r>
              <w:rPr>
                <w:rFonts w:ascii="Arial" w:cs="Arial" w:eastAsia="Arial" w:hAnsi="Arial"/>
                <w:sz w:val="16"/>
                <w:szCs w:val="16"/>
                <w:color w:val="auto"/>
              </w:rPr>
              <w:t>Timothy Regan</w:t>
            </w:r>
          </w:p>
        </w:tc>
        <w:tc>
          <w:tcPr>
            <w:tcW w:w="580" w:type="dxa"/>
            <w:vAlign w:val="bottom"/>
          </w:tcPr>
          <w:p>
            <w:pPr>
              <w:ind w:left="480"/>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560,000</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339,967</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100" w:type="dxa"/>
            <w:vAlign w:val="bottom"/>
          </w:tcPr>
          <w:p>
            <w:pPr>
              <w:jc w:val="center"/>
              <w:ind w:left="25"/>
              <w:spacing w:after="0"/>
              <w:rPr>
                <w:sz w:val="20"/>
                <w:szCs w:val="20"/>
                <w:color w:val="auto"/>
              </w:rPr>
            </w:pPr>
            <w:r>
              <w:rPr>
                <w:rFonts w:ascii="Arial" w:cs="Arial" w:eastAsia="Arial" w:hAnsi="Arial"/>
                <w:sz w:val="16"/>
                <w:szCs w:val="16"/>
                <w:color w:val="auto"/>
              </w:rPr>
              <w:t>8,310,052</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ind w:left="20"/>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ind w:left="100"/>
              <w:spacing w:after="0"/>
              <w:rPr>
                <w:sz w:val="20"/>
                <w:szCs w:val="20"/>
                <w:color w:val="auto"/>
              </w:rPr>
            </w:pPr>
            <w:r>
              <w:rPr>
                <w:rFonts w:ascii="Arial" w:cs="Arial" w:eastAsia="Arial" w:hAnsi="Arial"/>
                <w:sz w:val="16"/>
                <w:szCs w:val="16"/>
                <w:color w:val="auto"/>
              </w:rPr>
              <w:t>31,057</w:t>
            </w:r>
          </w:p>
        </w:tc>
        <w:tc>
          <w:tcPr>
            <w:tcW w:w="120" w:type="dxa"/>
            <w:vAlign w:val="bottom"/>
          </w:tcPr>
          <w:p>
            <w:pPr>
              <w:ind w:left="20"/>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880" w:type="dxa"/>
            <w:vAlign w:val="bottom"/>
          </w:tcPr>
          <w:p>
            <w:pPr>
              <w:jc w:val="center"/>
              <w:ind w:left="41"/>
              <w:spacing w:after="0"/>
              <w:rPr>
                <w:sz w:val="20"/>
                <w:szCs w:val="20"/>
                <w:color w:val="auto"/>
              </w:rPr>
            </w:pPr>
            <w:r>
              <w:rPr>
                <w:rFonts w:ascii="Arial" w:cs="Arial" w:eastAsia="Arial" w:hAnsi="Arial"/>
                <w:sz w:val="16"/>
                <w:szCs w:val="16"/>
                <w:color w:val="auto"/>
              </w:rPr>
              <w:t>9,241,076</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0" w:type="dxa"/>
            <w:vAlign w:val="bottom"/>
            <w:shd w:val="clear" w:color="auto" w:fill="F2F2F2"/>
          </w:tcPr>
          <w:p>
            <w:pPr>
              <w:spacing w:after="0"/>
              <w:rPr>
                <w:sz w:val="20"/>
                <w:szCs w:val="20"/>
                <w:color w:val="auto"/>
              </w:rPr>
            </w:pPr>
            <w:r>
              <w:rPr>
                <w:rFonts w:ascii="Arial" w:cs="Arial" w:eastAsia="Arial" w:hAnsi="Arial"/>
                <w:sz w:val="2"/>
                <w:szCs w:val="2"/>
                <w:color w:val="auto"/>
                <w:w w:val="4294942296"/>
              </w:rPr>
              <w:t>​</w:t>
            </w:r>
          </w:p>
        </w:tc>
        <w:tc>
          <w:tcPr>
            <w:tcW w:w="1940" w:type="dxa"/>
            <w:vAlign w:val="bottom"/>
            <w:shd w:val="clear" w:color="auto" w:fill="F2F2F2"/>
          </w:tcPr>
          <w:p>
            <w:pPr>
              <w:ind w:left="40"/>
              <w:spacing w:after="0"/>
              <w:rPr>
                <w:sz w:val="20"/>
                <w:szCs w:val="20"/>
                <w:color w:val="auto"/>
              </w:rPr>
            </w:pPr>
            <w:r>
              <w:rPr>
                <w:rFonts w:ascii="Arial" w:cs="Arial" w:eastAsia="Arial" w:hAnsi="Arial"/>
                <w:sz w:val="16"/>
                <w:szCs w:val="16"/>
                <w:color w:val="auto"/>
              </w:rPr>
              <w:t>Timothy Young</w:t>
            </w:r>
          </w:p>
        </w:tc>
        <w:tc>
          <w:tcPr>
            <w:tcW w:w="580" w:type="dxa"/>
            <w:vAlign w:val="bottom"/>
            <w:shd w:val="clear" w:color="auto" w:fill="F2F2F2"/>
          </w:tcPr>
          <w:p>
            <w:pPr>
              <w:ind w:left="480"/>
              <w:spacing w:after="0"/>
              <w:rPr>
                <w:sz w:val="20"/>
                <w:szCs w:val="20"/>
                <w:color w:val="auto"/>
              </w:rPr>
            </w:pPr>
            <w:r>
              <w:rPr>
                <w:rFonts w:ascii="Arial" w:cs="Arial" w:eastAsia="Arial" w:hAnsi="Arial"/>
                <w:sz w:val="4"/>
                <w:szCs w:val="4"/>
                <w:color w:val="auto"/>
              </w:rPr>
              <w:t>​</w:t>
            </w:r>
          </w:p>
        </w:tc>
        <w:tc>
          <w:tcPr>
            <w:tcW w:w="16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F2F2F2"/>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220" w:type="dxa"/>
            <w:vAlign w:val="bottom"/>
            <w:gridSpan w:val="2"/>
            <w:shd w:val="clear" w:color="auto" w:fill="F2F2F2"/>
          </w:tcPr>
          <w:p>
            <w:pPr>
              <w:jc w:val="right"/>
              <w:ind w:right="91"/>
              <w:spacing w:after="0"/>
              <w:rPr>
                <w:sz w:val="20"/>
                <w:szCs w:val="20"/>
                <w:color w:val="auto"/>
              </w:rPr>
            </w:pPr>
            <w:r>
              <w:rPr>
                <w:rFonts w:ascii="Arial" w:cs="Arial" w:eastAsia="Arial" w:hAnsi="Arial"/>
                <w:sz w:val="16"/>
                <w:szCs w:val="16"/>
                <w:color w:val="auto"/>
              </w:rPr>
              <w:t>13,793,286</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w:t>
            </w:r>
            <w:r>
              <w:rPr>
                <w:rFonts w:ascii="Arial" w:cs="Arial" w:eastAsia="Arial" w:hAnsi="Arial"/>
                <w:sz w:val="3"/>
                <w:szCs w:val="3"/>
                <w:color w:val="auto"/>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18,403</w:t>
            </w:r>
          </w:p>
        </w:tc>
        <w:tc>
          <w:tcPr>
            <w:tcW w:w="1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1000" w:type="dxa"/>
            <w:vAlign w:val="bottom"/>
            <w:gridSpan w:val="2"/>
            <w:shd w:val="clear" w:color="auto" w:fill="F2F2F2"/>
          </w:tcPr>
          <w:p>
            <w:pPr>
              <w:jc w:val="right"/>
              <w:ind w:right="62"/>
              <w:spacing w:after="0"/>
              <w:rPr>
                <w:sz w:val="20"/>
                <w:szCs w:val="20"/>
                <w:color w:val="auto"/>
              </w:rPr>
            </w:pPr>
            <w:r>
              <w:rPr>
                <w:rFonts w:ascii="Arial" w:cs="Arial" w:eastAsia="Arial" w:hAnsi="Arial"/>
                <w:sz w:val="16"/>
                <w:szCs w:val="16"/>
                <w:color w:val="auto"/>
              </w:rPr>
              <w:t>15,011,689</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0"/>
                <w:szCs w:val="20"/>
                <w:color w:val="auto"/>
              </w:rPr>
            </w:pPr>
            <w:r>
              <w:rPr>
                <w:rFonts w:ascii="Arial" w:cs="Arial" w:eastAsia="Arial" w:hAnsi="Arial"/>
                <w:sz w:val="2"/>
                <w:szCs w:val="2"/>
                <w:color w:val="auto"/>
                <w:w w:val="4294942296"/>
              </w:rPr>
              <w:t>​</w:t>
            </w:r>
          </w:p>
        </w:tc>
        <w:tc>
          <w:tcPr>
            <w:tcW w:w="194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580" w:type="dxa"/>
            <w:vAlign w:val="bottom"/>
          </w:tcPr>
          <w:p>
            <w:pPr>
              <w:ind w:left="480"/>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475,000</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308,750</w:t>
            </w:r>
          </w:p>
        </w:tc>
        <w:tc>
          <w:tcPr>
            <w:tcW w:w="12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100" w:type="dxa"/>
            <w:vAlign w:val="bottom"/>
          </w:tcPr>
          <w:p>
            <w:pPr>
              <w:jc w:val="center"/>
              <w:ind w:left="25"/>
              <w:spacing w:after="0"/>
              <w:rPr>
                <w:sz w:val="20"/>
                <w:szCs w:val="20"/>
                <w:color w:val="auto"/>
              </w:rPr>
            </w:pPr>
            <w:r>
              <w:rPr>
                <w:rFonts w:ascii="Arial" w:cs="Arial" w:eastAsia="Arial" w:hAnsi="Arial"/>
                <w:sz w:val="16"/>
                <w:szCs w:val="16"/>
                <w:color w:val="auto"/>
              </w:rPr>
              <w:t>5,002,959</w:t>
            </w:r>
          </w:p>
        </w:tc>
        <w:tc>
          <w:tcPr>
            <w:tcW w:w="120" w:type="dxa"/>
            <w:vAlign w:val="bottom"/>
          </w:tcPr>
          <w:p>
            <w:pPr>
              <w:jc w:val="right"/>
              <w:ind w:right="91"/>
              <w:spacing w:after="0"/>
              <w:rPr>
                <w:sz w:val="20"/>
                <w:szCs w:val="20"/>
                <w:color w:val="auto"/>
              </w:rPr>
            </w:pPr>
            <w:r>
              <w:rPr>
                <w:rFonts w:ascii="Arial" w:cs="Arial" w:eastAsia="Arial" w:hAnsi="Arial"/>
                <w:sz w:val="2"/>
                <w:szCs w:val="2"/>
                <w:color w:val="auto"/>
                <w:w w:val="4294942296"/>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ind w:left="20"/>
              <w:spacing w:after="0"/>
              <w:rPr>
                <w:sz w:val="20"/>
                <w:szCs w:val="20"/>
                <w:color w:val="auto"/>
              </w:rPr>
            </w:pPr>
            <w:r>
              <w:rPr>
                <w:rFonts w:ascii="Arial" w:cs="Arial" w:eastAsia="Arial" w:hAnsi="Arial"/>
                <w:sz w:val="4"/>
                <w:szCs w:val="4"/>
                <w:color w:val="auto"/>
              </w:rPr>
              <w:t>​</w:t>
            </w:r>
          </w:p>
        </w:tc>
        <w:tc>
          <w:tcPr>
            <w:tcW w:w="180" w:type="dxa"/>
            <w:vAlign w:val="bottom"/>
          </w:tcPr>
          <w:p>
            <w:pPr>
              <w:ind w:left="80"/>
              <w:spacing w:after="0"/>
              <w:rPr>
                <w:sz w:val="20"/>
                <w:szCs w:val="20"/>
                <w:color w:val="auto"/>
              </w:rPr>
            </w:pPr>
            <w:r>
              <w:rPr>
                <w:rFonts w:ascii="Arial" w:cs="Arial" w:eastAsia="Arial" w:hAnsi="Arial"/>
                <w:sz w:val="4"/>
                <w:szCs w:val="4"/>
                <w:color w:val="auto"/>
              </w:rPr>
              <w:t>​</w:t>
            </w:r>
          </w:p>
        </w:tc>
        <w:tc>
          <w:tcPr>
            <w:tcW w:w="660" w:type="dxa"/>
            <w:vAlign w:val="bottom"/>
          </w:tcPr>
          <w:p>
            <w:pPr>
              <w:ind w:left="100"/>
              <w:spacing w:after="0"/>
              <w:rPr>
                <w:sz w:val="20"/>
                <w:szCs w:val="20"/>
                <w:color w:val="auto"/>
              </w:rPr>
            </w:pPr>
            <w:r>
              <w:rPr>
                <w:rFonts w:ascii="Arial" w:cs="Arial" w:eastAsia="Arial" w:hAnsi="Arial"/>
                <w:sz w:val="16"/>
                <w:szCs w:val="16"/>
                <w:color w:val="auto"/>
              </w:rPr>
              <w:t>31,057</w:t>
            </w:r>
          </w:p>
        </w:tc>
        <w:tc>
          <w:tcPr>
            <w:tcW w:w="120" w:type="dxa"/>
            <w:vAlign w:val="bottom"/>
          </w:tcPr>
          <w:p>
            <w:pPr>
              <w:ind w:left="20"/>
              <w:spacing w:after="0"/>
              <w:rPr>
                <w:sz w:val="20"/>
                <w:szCs w:val="20"/>
                <w:color w:val="auto"/>
              </w:rPr>
            </w:pPr>
            <w:r>
              <w:rPr>
                <w:rFonts w:ascii="Arial" w:cs="Arial" w:eastAsia="Arial" w:hAnsi="Arial"/>
                <w:sz w:val="4"/>
                <w:szCs w:val="4"/>
                <w:color w:val="auto"/>
              </w:rPr>
              <w:t>​</w:t>
            </w:r>
          </w:p>
        </w:tc>
        <w:tc>
          <w:tcPr>
            <w:tcW w:w="180" w:type="dxa"/>
            <w:vAlign w:val="bottom"/>
          </w:tcPr>
          <w:p>
            <w:pPr>
              <w:ind w:left="100"/>
              <w:spacing w:after="0"/>
              <w:rPr>
                <w:sz w:val="20"/>
                <w:szCs w:val="20"/>
                <w:color w:val="auto"/>
              </w:rPr>
            </w:pPr>
            <w:r>
              <w:rPr>
                <w:rFonts w:ascii="Arial" w:cs="Arial" w:eastAsia="Arial" w:hAnsi="Arial"/>
                <w:sz w:val="4"/>
                <w:szCs w:val="4"/>
                <w:color w:val="auto"/>
              </w:rPr>
              <w:t>​</w:t>
            </w:r>
          </w:p>
        </w:tc>
        <w:tc>
          <w:tcPr>
            <w:tcW w:w="1000" w:type="dxa"/>
            <w:vAlign w:val="bottom"/>
            <w:gridSpan w:val="2"/>
          </w:tcPr>
          <w:p>
            <w:pPr>
              <w:jc w:val="right"/>
              <w:ind w:right="62"/>
              <w:spacing w:after="0"/>
              <w:rPr>
                <w:sz w:val="20"/>
                <w:szCs w:val="20"/>
                <w:color w:val="auto"/>
              </w:rPr>
            </w:pPr>
            <w:r>
              <w:rPr>
                <w:rFonts w:ascii="Arial" w:cs="Arial" w:eastAsia="Arial" w:hAnsi="Arial"/>
                <w:sz w:val="16"/>
                <w:szCs w:val="16"/>
                <w:color w:val="auto"/>
              </w:rPr>
              <w:t xml:space="preserve">5,817,766 </w:t>
            </w:r>
            <w:r>
              <w:rPr>
                <w:rFonts w:ascii="Arial" w:cs="Arial" w:eastAsia="Arial" w:hAnsi="Arial"/>
                <w:sz w:val="3"/>
                <w:szCs w:val="3"/>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44" w:hanging="244"/>
        <w:spacing w:after="0" w:line="207" w:lineRule="auto"/>
        <w:tabs>
          <w:tab w:leader="none" w:pos="244"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spacing w:after="0" w:line="3" w:lineRule="exact"/>
        <w:rPr>
          <w:rFonts w:ascii="Arial" w:cs="Arial" w:eastAsia="Arial" w:hAnsi="Arial"/>
          <w:sz w:val="22"/>
          <w:szCs w:val="22"/>
          <w:color w:val="auto"/>
          <w:vertAlign w:val="superscript"/>
        </w:rPr>
      </w:pPr>
    </w:p>
    <w:p>
      <w:pPr>
        <w:ind w:left="244" w:right="40" w:hanging="244"/>
        <w:spacing w:after="0" w:line="193" w:lineRule="auto"/>
        <w:tabs>
          <w:tab w:leader="none" w:pos="244"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Unless otherwise noted, the value is based on a per share price of $22.38, which was the closing price of a share of our Class A common stock as reported on December 30, 2022, the last trading day of the year.</w:t>
      </w:r>
    </w:p>
    <w:p>
      <w:pPr>
        <w:spacing w:after="0" w:line="1" w:lineRule="exact"/>
        <w:rPr>
          <w:rFonts w:ascii="Arial" w:cs="Arial" w:eastAsia="Arial" w:hAnsi="Arial"/>
          <w:sz w:val="22"/>
          <w:szCs w:val="22"/>
          <w:color w:val="auto"/>
          <w:vertAlign w:val="superscript"/>
        </w:rPr>
      </w:pPr>
    </w:p>
    <w:p>
      <w:pPr>
        <w:ind w:left="244" w:right="180" w:hanging="244"/>
        <w:spacing w:after="0" w:line="208" w:lineRule="auto"/>
        <w:tabs>
          <w:tab w:leader="none" w:pos="244"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Excludes 8,266,666 shares of Class A common stock underlying RSAs subject to Mr. Houston’s Co-Founder Grant. See “</w:t>
      </w:r>
      <w:r>
        <w:rPr>
          <w:rFonts w:ascii="Arial" w:cs="Arial" w:eastAsia="Arial" w:hAnsi="Arial"/>
          <w:sz w:val="14"/>
          <w:szCs w:val="14"/>
          <w:i w:val="1"/>
          <w:iCs w:val="1"/>
          <w:color w:val="auto"/>
        </w:rPr>
        <w:t>Potential Payments on</w:t>
      </w:r>
      <w:r>
        <w:rPr>
          <w:rFonts w:ascii="Arial" w:cs="Arial" w:eastAsia="Arial" w:hAnsi="Arial"/>
          <w:sz w:val="14"/>
          <w:szCs w:val="14"/>
          <w:color w:val="auto"/>
        </w:rPr>
        <w:t xml:space="preserve"> </w:t>
      </w:r>
      <w:r>
        <w:rPr>
          <w:rFonts w:ascii="Arial" w:cs="Arial" w:eastAsia="Arial" w:hAnsi="Arial"/>
          <w:sz w:val="14"/>
          <w:szCs w:val="14"/>
          <w:i w:val="1"/>
          <w:iCs w:val="1"/>
          <w:color w:val="auto"/>
        </w:rPr>
        <w:t>Termination or Change in Control—Certain Equity Awards</w:t>
      </w:r>
      <w:r>
        <w:rPr>
          <w:rFonts w:ascii="Arial" w:cs="Arial" w:eastAsia="Arial" w:hAnsi="Arial"/>
          <w:sz w:val="14"/>
          <w:szCs w:val="14"/>
          <w:color w:val="auto"/>
        </w:rPr>
        <w:t>” above for additional information regarding the terms of Mr. Houston’s Co-Founder</w:t>
      </w:r>
      <w:r>
        <w:rPr>
          <w:rFonts w:ascii="Arial" w:cs="Arial" w:eastAsia="Arial" w:hAnsi="Arial"/>
          <w:sz w:val="14"/>
          <w:szCs w:val="14"/>
          <w:i w:val="1"/>
          <w:iCs w:val="1"/>
          <w:color w:val="auto"/>
        </w:rPr>
        <w:t xml:space="preserve"> </w:t>
      </w:r>
      <w:r>
        <w:rPr>
          <w:rFonts w:ascii="Arial" w:cs="Arial" w:eastAsia="Arial" w:hAnsi="Arial"/>
          <w:sz w:val="14"/>
          <w:szCs w:val="14"/>
          <w:color w:val="auto"/>
        </w:rPr>
        <w:t>Grant in connection with a change in control.</w:t>
      </w:r>
    </w:p>
    <w:p>
      <w:pPr>
        <w:spacing w:after="0" w:line="17" w:lineRule="exact"/>
        <w:rPr>
          <w:rFonts w:ascii="Arial" w:cs="Arial" w:eastAsia="Arial" w:hAnsi="Arial"/>
          <w:sz w:val="22"/>
          <w:szCs w:val="22"/>
          <w:color w:val="auto"/>
          <w:vertAlign w:val="superscript"/>
        </w:rPr>
      </w:pPr>
    </w:p>
    <w:p>
      <w:pPr>
        <w:ind w:left="244" w:right="60" w:hanging="244"/>
        <w:spacing w:after="0" w:line="214" w:lineRule="auto"/>
        <w:tabs>
          <w:tab w:leader="none" w:pos="244"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The amount reported represents the value of (i) the shares of Class A common stock subject to Mr. Young’s time-based RSA that are accelerated, plus (ii) the shares of Class A common stock subject to Mr. Young’s performance-based RSA that would have vested if a change in control occurred on December 31, 2022 with a per share consideration of $22.38, which was the closing price of a share of our Class A common stock as reported on December 30, 2022, the last trading day of the year.</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rPr>
          <w:sz w:val="20"/>
          <w:szCs w:val="20"/>
          <w:color w:val="auto"/>
        </w:rPr>
      </w:pPr>
      <w:r>
        <w:rPr>
          <w:rFonts w:ascii="Arial" w:cs="Arial" w:eastAsia="Arial" w:hAnsi="Arial"/>
          <w:sz w:val="26"/>
          <w:szCs w:val="26"/>
          <w:color w:val="0063A6"/>
        </w:rPr>
        <w:t>CEO Pay Ratio</w:t>
      </w:r>
    </w:p>
    <w:p>
      <w:pPr>
        <w:spacing w:after="0" w:line="14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179070</wp:posOffset>
            </wp:positionV>
            <wp:extent cx="4937760" cy="788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377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order to identify our median employee, we examined the total compensation in 2022 of all employees globally, including those employed on a full-time, part-time, seasonal or temporary basis by the company as of December 31, 2022, and then such compensation is converted into U.S. dollars. We did not annualize compensation for employees who were not employed for the entire 2022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2022 through December 31, 2022.</w:t>
      </w:r>
    </w:p>
    <w:p>
      <w:pPr>
        <w:spacing w:after="0" w:line="15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Our CEO had annual total compensation for 2022, calculated using the requirements of Item 402 for purposes of the Pay Ratio Disclosure, of $1,146,000. The annual total compensation of the median employee of the company for 2022, calculated using the same requirements under Item 402 for purposes of the Pay Ratio Disclosure, which included base pay, incentive compensation, the grant date fair value of equity grants and the company’s matching contribution to that employee’s 401(k) plan, was $274,599. Accordingly, the ratio of the annual total compensation of the CEO to the annual total compensation of the median employee of the company was 4 to 1.</w:t>
      </w:r>
    </w:p>
    <w:p>
      <w:pPr>
        <w:spacing w:after="0" w:line="15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59" w:name="page60"/>
    <w:bookmarkEnd w:id="59"/>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26"/>
          <w:szCs w:val="26"/>
          <w:color w:val="0063A6"/>
        </w:rPr>
        <w:t>Pay Versus Performance</w:t>
      </w:r>
    </w:p>
    <w:p>
      <w:pPr>
        <w:spacing w:after="0" w:line="149"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comparison of the total compensation actually paid to company performance (the “</w:t>
      </w:r>
      <w:r>
        <w:rPr>
          <w:rFonts w:ascii="Arial" w:cs="Arial" w:eastAsia="Arial" w:hAnsi="Arial"/>
          <w:sz w:val="16"/>
          <w:szCs w:val="16"/>
          <w:b w:val="1"/>
          <w:bCs w:val="1"/>
          <w:i w:val="1"/>
          <w:iCs w:val="1"/>
          <w:color w:val="auto"/>
        </w:rPr>
        <w:t>Pay Versus Performance Disclosure</w:t>
      </w:r>
      <w:r>
        <w:rPr>
          <w:rFonts w:ascii="Arial" w:cs="Arial" w:eastAsia="Arial" w:hAnsi="Arial"/>
          <w:sz w:val="16"/>
          <w:szCs w:val="16"/>
          <w:color w:val="auto"/>
        </w:rPr>
        <w:t>”). For further information concerning our variable pay-for-performance philosophy and how we align executive compensation with the company’s performance,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6077585" cy="1765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7585" cy="1765935"/>
                    </a:xfrm>
                    <a:prstGeom prst="rect">
                      <a:avLst/>
                    </a:prstGeom>
                    <a:noFill/>
                  </pic:spPr>
                </pic:pic>
              </a:graphicData>
            </a:graphic>
          </wp:anchor>
        </w:drawing>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460" w:type="dxa"/>
            <w:vAlign w:val="bottom"/>
            <w:shd w:val="clear" w:color="auto" w:fill="0063A6"/>
          </w:tcPr>
          <w:p>
            <w:pPr>
              <w:ind w:left="40"/>
              <w:spacing w:after="0"/>
              <w:rPr>
                <w:sz w:val="20"/>
                <w:szCs w:val="20"/>
                <w:color w:val="auto"/>
              </w:rPr>
            </w:pPr>
            <w:r>
              <w:rPr>
                <w:rFonts w:ascii="Arial" w:cs="Arial" w:eastAsia="Arial" w:hAnsi="Arial"/>
                <w:sz w:val="13"/>
                <w:szCs w:val="13"/>
                <w:b w:val="1"/>
                <w:bCs w:val="1"/>
                <w:color w:val="FFFFFF"/>
              </w:rPr>
              <w:t>(a)</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0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60" w:type="dxa"/>
            <w:vAlign w:val="bottom"/>
            <w:shd w:val="clear" w:color="auto" w:fill="0063A6"/>
          </w:tcPr>
          <w:p>
            <w:pPr>
              <w:jc w:val="right"/>
              <w:ind w:right="3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8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jc w:val="center"/>
              <w:spacing w:after="0"/>
              <w:rPr>
                <w:sz w:val="20"/>
                <w:szCs w:val="20"/>
                <w:color w:val="auto"/>
              </w:rPr>
            </w:pPr>
            <w:r>
              <w:rPr>
                <w:rFonts w:ascii="Arial" w:cs="Arial" w:eastAsia="Arial" w:hAnsi="Arial"/>
                <w:sz w:val="4"/>
                <w:szCs w:val="4"/>
                <w:color w:val="auto"/>
              </w:rPr>
              <w:t>​</w:t>
            </w:r>
          </w:p>
        </w:tc>
        <w:tc>
          <w:tcPr>
            <w:tcW w:w="8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(g)</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0" w:type="dxa"/>
            <w:vAlign w:val="bottom"/>
            <w:shd w:val="clear" w:color="auto" w:fill="0063A6"/>
          </w:tcPr>
          <w:p>
            <w:pPr>
              <w:jc w:val="right"/>
              <w:spacing w:after="0"/>
              <w:rPr>
                <w:sz w:val="20"/>
                <w:szCs w:val="20"/>
                <w:color w:val="auto"/>
              </w:rPr>
            </w:pPr>
            <w:r>
              <w:rPr>
                <w:rFonts w:ascii="Arial" w:cs="Arial" w:eastAsia="Arial" w:hAnsi="Arial"/>
                <w:sz w:val="13"/>
                <w:szCs w:val="13"/>
                <w:b w:val="1"/>
                <w:bCs w:val="1"/>
                <w:color w:val="FFFFFF"/>
              </w:rPr>
              <w:t xml:space="preserve">(h)  </w:t>
            </w:r>
            <w:r>
              <w:rPr>
                <w:rFonts w:ascii="Arial" w:cs="Arial" w:eastAsia="Arial" w:hAnsi="Arial"/>
                <w:sz w:val="3"/>
                <w:szCs w:val="3"/>
                <w:color w:val="000000"/>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6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7"/>
              </w:rPr>
              <w:t>(i)</w:t>
            </w: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24"/>
        </w:trPr>
        <w:tc>
          <w:tcPr>
            <w:tcW w:w="40" w:type="dxa"/>
            <w:vAlign w:val="bottom"/>
            <w:shd w:val="clear" w:color="auto" w:fill="0063A6"/>
          </w:tcPr>
          <w:p>
            <w:pPr>
              <w:spacing w:after="0"/>
              <w:rPr>
                <w:sz w:val="24"/>
                <w:szCs w:val="24"/>
                <w:color w:val="auto"/>
              </w:rPr>
            </w:pPr>
          </w:p>
        </w:tc>
        <w:tc>
          <w:tcPr>
            <w:tcW w:w="46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980" w:type="dxa"/>
            <w:vAlign w:val="bottom"/>
            <w:shd w:val="clear" w:color="auto" w:fill="0063A6"/>
          </w:tcPr>
          <w:p>
            <w:pPr>
              <w:spacing w:after="0"/>
              <w:rPr>
                <w:sz w:val="24"/>
                <w:szCs w:val="24"/>
                <w:color w:val="auto"/>
              </w:rPr>
            </w:pPr>
          </w:p>
        </w:tc>
        <w:tc>
          <w:tcPr>
            <w:tcW w:w="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1040" w:type="dxa"/>
            <w:vAlign w:val="bottom"/>
            <w:shd w:val="clear" w:color="auto" w:fill="0063A6"/>
          </w:tcPr>
          <w:p>
            <w:pPr>
              <w:spacing w:after="0"/>
              <w:rPr>
                <w:sz w:val="24"/>
                <w:szCs w:val="24"/>
                <w:color w:val="auto"/>
              </w:rPr>
            </w:pPr>
          </w:p>
        </w:tc>
        <w:tc>
          <w:tcPr>
            <w:tcW w:w="6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130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300" w:type="dxa"/>
            <w:vAlign w:val="bottom"/>
            <w:shd w:val="clear" w:color="auto" w:fill="0063A6"/>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820" w:type="dxa"/>
            <w:vAlign w:val="bottom"/>
            <w:gridSpan w:val="4"/>
            <w:shd w:val="clear" w:color="auto" w:fill="0063A6"/>
          </w:tcPr>
          <w:p>
            <w:pPr>
              <w:ind w:left="80"/>
              <w:spacing w:after="0"/>
              <w:rPr>
                <w:sz w:val="20"/>
                <w:szCs w:val="20"/>
                <w:color w:val="auto"/>
              </w:rPr>
            </w:pPr>
            <w:r>
              <w:rPr>
                <w:rFonts w:ascii="Arial" w:cs="Arial" w:eastAsia="Arial" w:hAnsi="Arial"/>
                <w:sz w:val="13"/>
                <w:szCs w:val="13"/>
                <w:b w:val="1"/>
                <w:bCs w:val="1"/>
                <w:color w:val="FFFFFF"/>
              </w:rPr>
              <w:t>Value of Initial Fixed $100</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spacing w:after="0"/>
              <w:rPr>
                <w:sz w:val="24"/>
                <w:szCs w:val="24"/>
                <w:color w:val="auto"/>
              </w:rPr>
            </w:pPr>
          </w:p>
        </w:tc>
        <w:tc>
          <w:tcPr>
            <w:tcW w:w="60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62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0063A6"/>
          </w:tcPr>
          <w:p>
            <w:pPr>
              <w:spacing w:after="0"/>
              <w:rPr>
                <w:sz w:val="15"/>
                <w:szCs w:val="15"/>
                <w:color w:val="auto"/>
              </w:rPr>
            </w:pPr>
          </w:p>
        </w:tc>
        <w:tc>
          <w:tcPr>
            <w:tcW w:w="460" w:type="dxa"/>
            <w:vAlign w:val="bottom"/>
            <w:shd w:val="clear" w:color="auto" w:fill="0063A6"/>
          </w:tcPr>
          <w:p>
            <w:pPr>
              <w:spacing w:after="0"/>
              <w:rPr>
                <w:sz w:val="15"/>
                <w:szCs w:val="15"/>
                <w:color w:val="auto"/>
              </w:rPr>
            </w:pPr>
          </w:p>
        </w:tc>
        <w:tc>
          <w:tcPr>
            <w:tcW w:w="14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980" w:type="dxa"/>
            <w:vAlign w:val="bottom"/>
            <w:shd w:val="clear" w:color="auto" w:fill="0063A6"/>
          </w:tcPr>
          <w:p>
            <w:pPr>
              <w:spacing w:after="0"/>
              <w:rPr>
                <w:sz w:val="15"/>
                <w:szCs w:val="15"/>
                <w:color w:val="auto"/>
              </w:rPr>
            </w:pPr>
          </w:p>
        </w:tc>
        <w:tc>
          <w:tcPr>
            <w:tcW w:w="6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1040" w:type="dxa"/>
            <w:vAlign w:val="bottom"/>
            <w:shd w:val="clear" w:color="auto" w:fill="0063A6"/>
          </w:tcPr>
          <w:p>
            <w:pPr>
              <w:spacing w:after="0"/>
              <w:rPr>
                <w:sz w:val="15"/>
                <w:szCs w:val="15"/>
                <w:color w:val="auto"/>
              </w:rPr>
            </w:pPr>
          </w:p>
        </w:tc>
        <w:tc>
          <w:tcPr>
            <w:tcW w:w="60" w:type="dxa"/>
            <w:vAlign w:val="bottom"/>
            <w:shd w:val="clear" w:color="auto" w:fill="0063A6"/>
          </w:tcPr>
          <w:p>
            <w:pPr>
              <w:spacing w:after="0"/>
              <w:rPr>
                <w:sz w:val="15"/>
                <w:szCs w:val="15"/>
                <w:color w:val="auto"/>
              </w:rPr>
            </w:pPr>
          </w:p>
        </w:tc>
        <w:tc>
          <w:tcPr>
            <w:tcW w:w="140" w:type="dxa"/>
            <w:vAlign w:val="bottom"/>
            <w:shd w:val="clear" w:color="auto" w:fill="0063A6"/>
          </w:tcPr>
          <w:p>
            <w:pPr>
              <w:spacing w:after="0"/>
              <w:rPr>
                <w:sz w:val="15"/>
                <w:szCs w:val="15"/>
                <w:color w:val="auto"/>
              </w:rPr>
            </w:pPr>
          </w:p>
        </w:tc>
        <w:tc>
          <w:tcPr>
            <w:tcW w:w="130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120" w:type="dxa"/>
            <w:vAlign w:val="bottom"/>
            <w:shd w:val="clear" w:color="auto" w:fill="0063A6"/>
          </w:tcPr>
          <w:p>
            <w:pPr>
              <w:spacing w:after="0"/>
              <w:rPr>
                <w:sz w:val="15"/>
                <w:szCs w:val="15"/>
                <w:color w:val="auto"/>
              </w:rPr>
            </w:pPr>
          </w:p>
        </w:tc>
        <w:tc>
          <w:tcPr>
            <w:tcW w:w="1300" w:type="dxa"/>
            <w:vAlign w:val="bottom"/>
            <w:shd w:val="clear" w:color="auto" w:fill="0063A6"/>
          </w:tcPr>
          <w:p>
            <w:pPr>
              <w:spacing w:after="0"/>
              <w:rPr>
                <w:sz w:val="15"/>
                <w:szCs w:val="15"/>
                <w:color w:val="auto"/>
              </w:rPr>
            </w:pPr>
          </w:p>
        </w:tc>
        <w:tc>
          <w:tcPr>
            <w:tcW w:w="12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1820" w:type="dxa"/>
            <w:vAlign w:val="bottom"/>
            <w:gridSpan w:val="4"/>
            <w:shd w:val="clear" w:color="auto" w:fill="0063A6"/>
          </w:tcPr>
          <w:p>
            <w:pPr>
              <w:jc w:val="center"/>
              <w:spacing w:after="0"/>
              <w:rPr>
                <w:sz w:val="20"/>
                <w:szCs w:val="20"/>
                <w:color w:val="auto"/>
              </w:rPr>
            </w:pPr>
            <w:r>
              <w:rPr>
                <w:rFonts w:ascii="Arial" w:cs="Arial" w:eastAsia="Arial" w:hAnsi="Arial"/>
                <w:sz w:val="13"/>
                <w:szCs w:val="13"/>
                <w:b w:val="1"/>
                <w:bCs w:val="1"/>
                <w:color w:val="FFFFFF"/>
              </w:rPr>
              <w:t>Investment Based On:</w:t>
            </w:r>
          </w:p>
        </w:tc>
        <w:tc>
          <w:tcPr>
            <w:tcW w:w="100" w:type="dxa"/>
            <w:vAlign w:val="bottom"/>
            <w:shd w:val="clear" w:color="auto" w:fill="0063A6"/>
          </w:tcPr>
          <w:p>
            <w:pPr>
              <w:spacing w:after="0"/>
              <w:rPr>
                <w:sz w:val="15"/>
                <w:szCs w:val="15"/>
                <w:color w:val="auto"/>
              </w:rPr>
            </w:pPr>
          </w:p>
        </w:tc>
        <w:tc>
          <w:tcPr>
            <w:tcW w:w="60" w:type="dxa"/>
            <w:vAlign w:val="bottom"/>
            <w:shd w:val="clear" w:color="auto" w:fill="0063A6"/>
          </w:tcPr>
          <w:p>
            <w:pPr>
              <w:spacing w:after="0"/>
              <w:rPr>
                <w:sz w:val="15"/>
                <w:szCs w:val="15"/>
                <w:color w:val="auto"/>
              </w:rPr>
            </w:pPr>
          </w:p>
        </w:tc>
        <w:tc>
          <w:tcPr>
            <w:tcW w:w="60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620" w:type="dxa"/>
            <w:vAlign w:val="bottom"/>
            <w:shd w:val="clear" w:color="auto" w:fill="0063A6"/>
          </w:tcPr>
          <w:p>
            <w:pPr>
              <w:spacing w:after="0"/>
              <w:rPr>
                <w:sz w:val="15"/>
                <w:szCs w:val="15"/>
                <w:color w:val="auto"/>
              </w:rPr>
            </w:pPr>
          </w:p>
        </w:tc>
        <w:tc>
          <w:tcPr>
            <w:tcW w:w="10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0063A6"/>
          </w:tcPr>
          <w:p>
            <w:pPr>
              <w:spacing w:after="0"/>
              <w:rPr>
                <w:sz w:val="14"/>
                <w:szCs w:val="14"/>
                <w:color w:val="auto"/>
              </w:rPr>
            </w:pPr>
          </w:p>
        </w:tc>
        <w:tc>
          <w:tcPr>
            <w:tcW w:w="46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9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6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104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Summary</w:t>
            </w:r>
          </w:p>
        </w:tc>
        <w:tc>
          <w:tcPr>
            <w:tcW w:w="100" w:type="dxa"/>
            <w:vAlign w:val="bottom"/>
            <w:shd w:val="clear" w:color="auto" w:fill="0063A6"/>
          </w:tcPr>
          <w:p>
            <w:pPr>
              <w:spacing w:after="0"/>
              <w:rPr>
                <w:sz w:val="14"/>
                <w:szCs w:val="14"/>
                <w:color w:val="auto"/>
              </w:rPr>
            </w:pPr>
          </w:p>
        </w:tc>
        <w:tc>
          <w:tcPr>
            <w:tcW w:w="120" w:type="dxa"/>
            <w:vAlign w:val="bottom"/>
            <w:shd w:val="clear" w:color="auto" w:fill="0063A6"/>
          </w:tcPr>
          <w:p>
            <w:pPr>
              <w:spacing w:after="0"/>
              <w:rPr>
                <w:sz w:val="14"/>
                <w:szCs w:val="14"/>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2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2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6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8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Peer Group</w:t>
            </w:r>
          </w:p>
        </w:tc>
        <w:tc>
          <w:tcPr>
            <w:tcW w:w="100" w:type="dxa"/>
            <w:vAlign w:val="bottom"/>
            <w:shd w:val="clear" w:color="auto" w:fill="0063A6"/>
          </w:tcPr>
          <w:p>
            <w:pPr>
              <w:spacing w:after="0"/>
              <w:rPr>
                <w:sz w:val="14"/>
                <w:szCs w:val="14"/>
                <w:color w:val="auto"/>
              </w:rPr>
            </w:pPr>
          </w:p>
        </w:tc>
        <w:tc>
          <w:tcPr>
            <w:tcW w:w="60" w:type="dxa"/>
            <w:vAlign w:val="bottom"/>
            <w:shd w:val="clear" w:color="auto" w:fill="0063A6"/>
          </w:tcPr>
          <w:p>
            <w:pPr>
              <w:spacing w:after="0"/>
              <w:rPr>
                <w:sz w:val="14"/>
                <w:szCs w:val="14"/>
                <w:color w:val="auto"/>
              </w:rPr>
            </w:pPr>
          </w:p>
        </w:tc>
        <w:tc>
          <w:tcPr>
            <w:tcW w:w="60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62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460" w:type="dxa"/>
            <w:vAlign w:val="bottom"/>
            <w:shd w:val="clear" w:color="auto" w:fill="0063A6"/>
          </w:tcPr>
          <w:p>
            <w:pPr>
              <w:spacing w:after="0"/>
              <w:rPr>
                <w:sz w:val="7"/>
                <w:szCs w:val="7"/>
                <w:color w:val="auto"/>
              </w:rPr>
            </w:pP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980" w:type="dxa"/>
            <w:vAlign w:val="bottom"/>
            <w:vMerge w:val="continue"/>
            <w:shd w:val="clear" w:color="auto" w:fill="0063A6"/>
          </w:tcPr>
          <w:p>
            <w:pPr>
              <w:spacing w:after="0"/>
              <w:rPr>
                <w:sz w:val="7"/>
                <w:szCs w:val="7"/>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040" w:type="dxa"/>
            <w:vAlign w:val="bottom"/>
            <w:shd w:val="clear" w:color="auto" w:fill="0063A6"/>
          </w:tcPr>
          <w:p>
            <w:pPr>
              <w:spacing w:after="0"/>
              <w:rPr>
                <w:sz w:val="7"/>
                <w:szCs w:val="7"/>
                <w:color w:val="auto"/>
              </w:rPr>
            </w:pPr>
          </w:p>
        </w:tc>
        <w:tc>
          <w:tcPr>
            <w:tcW w:w="60" w:type="dxa"/>
            <w:vAlign w:val="bottom"/>
            <w:shd w:val="clear" w:color="auto" w:fill="0063A6"/>
          </w:tcPr>
          <w:p>
            <w:pPr>
              <w:jc w:val="right"/>
              <w:ind w:right="3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300" w:type="dxa"/>
            <w:vAlign w:val="bottom"/>
            <w:vMerge w:val="restart"/>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Compensation</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300" w:type="dxa"/>
            <w:vAlign w:val="bottom"/>
            <w:vMerge w:val="restart"/>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Compensation</w:t>
            </w:r>
          </w:p>
        </w:tc>
        <w:tc>
          <w:tcPr>
            <w:tcW w:w="12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spacing w:after="0"/>
              <w:rPr>
                <w:sz w:val="7"/>
                <w:szCs w:val="7"/>
                <w:color w:val="auto"/>
              </w:rPr>
            </w:pPr>
          </w:p>
        </w:tc>
        <w:tc>
          <w:tcPr>
            <w:tcW w:w="820" w:type="dxa"/>
            <w:vAlign w:val="bottom"/>
            <w:vMerge w:val="continue"/>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840" w:type="dxa"/>
            <w:vAlign w:val="bottom"/>
            <w:vMerge w:val="continue"/>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6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0" w:type="dxa"/>
            <w:vAlign w:val="bottom"/>
            <w:shd w:val="clear" w:color="auto" w:fill="0063A6"/>
          </w:tcPr>
          <w:p>
            <w:pPr>
              <w:jc w:val="right"/>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62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8"/>
        </w:trPr>
        <w:tc>
          <w:tcPr>
            <w:tcW w:w="40" w:type="dxa"/>
            <w:vAlign w:val="bottom"/>
            <w:shd w:val="clear" w:color="auto" w:fill="0063A6"/>
          </w:tcPr>
          <w:p>
            <w:pPr>
              <w:spacing w:after="0"/>
              <w:rPr>
                <w:sz w:val="5"/>
                <w:szCs w:val="5"/>
                <w:color w:val="auto"/>
              </w:rPr>
            </w:pPr>
          </w:p>
        </w:tc>
        <w:tc>
          <w:tcPr>
            <w:tcW w:w="46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980" w:type="dxa"/>
            <w:vAlign w:val="bottom"/>
            <w:vMerge w:val="continue"/>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040" w:type="dxa"/>
            <w:vAlign w:val="bottom"/>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1300" w:type="dxa"/>
            <w:vAlign w:val="bottom"/>
            <w:vMerge w:val="continue"/>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1300" w:type="dxa"/>
            <w:vAlign w:val="bottom"/>
            <w:vMerge w:val="continue"/>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820" w:type="dxa"/>
            <w:vAlign w:val="bottom"/>
            <w:vMerge w:val="continue"/>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840" w:type="dxa"/>
            <w:vAlign w:val="bottom"/>
            <w:vMerge w:val="continue"/>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60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620" w:type="dxa"/>
            <w:vAlign w:val="bottom"/>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0063A6"/>
          </w:tcPr>
          <w:p>
            <w:pPr>
              <w:spacing w:after="0"/>
              <w:rPr>
                <w:sz w:val="12"/>
                <w:szCs w:val="12"/>
                <w:color w:val="auto"/>
              </w:rPr>
            </w:pPr>
          </w:p>
        </w:tc>
        <w:tc>
          <w:tcPr>
            <w:tcW w:w="46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10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6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20" w:type="dxa"/>
            <w:vAlign w:val="bottom"/>
            <w:shd w:val="clear" w:color="auto" w:fill="0063A6"/>
          </w:tcPr>
          <w:p>
            <w:pPr>
              <w:spacing w:after="0"/>
              <w:rPr>
                <w:sz w:val="12"/>
                <w:szCs w:val="12"/>
                <w:color w:val="auto"/>
              </w:rPr>
            </w:pP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8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Company</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0063A6"/>
          </w:tcPr>
          <w:p>
            <w:pPr>
              <w:jc w:val="center"/>
              <w:spacing w:after="0"/>
              <w:rPr>
                <w:sz w:val="20"/>
                <w:szCs w:val="20"/>
                <w:color w:val="auto"/>
              </w:rPr>
            </w:pPr>
            <w:r>
              <w:rPr>
                <w:rFonts w:ascii="Arial" w:cs="Arial" w:eastAsia="Arial" w:hAnsi="Arial"/>
                <w:sz w:val="4"/>
                <w:szCs w:val="4"/>
                <w:color w:val="auto"/>
              </w:rPr>
              <w:t>​</w:t>
            </w:r>
          </w:p>
        </w:tc>
        <w:tc>
          <w:tcPr>
            <w:tcW w:w="8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10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spacing w:after="0"/>
              <w:rPr>
                <w:sz w:val="12"/>
                <w:szCs w:val="12"/>
                <w:color w:val="auto"/>
              </w:rPr>
            </w:pPr>
          </w:p>
        </w:tc>
        <w:tc>
          <w:tcPr>
            <w:tcW w:w="6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Net</w:t>
            </w:r>
          </w:p>
        </w:tc>
        <w:tc>
          <w:tcPr>
            <w:tcW w:w="100" w:type="dxa"/>
            <w:vAlign w:val="bottom"/>
            <w:shd w:val="clear" w:color="auto" w:fill="0063A6"/>
          </w:tcPr>
          <w:p>
            <w:pPr>
              <w:spacing w:after="0"/>
              <w:rPr>
                <w:sz w:val="12"/>
                <w:szCs w:val="12"/>
                <w:color w:val="auto"/>
              </w:rPr>
            </w:pPr>
          </w:p>
        </w:tc>
        <w:tc>
          <w:tcPr>
            <w:tcW w:w="62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0063A6"/>
          </w:tcPr>
          <w:p>
            <w:pPr>
              <w:spacing w:after="0"/>
              <w:rPr>
                <w:sz w:val="12"/>
                <w:szCs w:val="12"/>
                <w:color w:val="auto"/>
              </w:rPr>
            </w:pPr>
          </w:p>
        </w:tc>
        <w:tc>
          <w:tcPr>
            <w:tcW w:w="46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10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6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p>
        </w:tc>
        <w:tc>
          <w:tcPr>
            <w:tcW w:w="12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6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8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10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6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Income</w:t>
            </w:r>
          </w:p>
        </w:tc>
        <w:tc>
          <w:tcPr>
            <w:tcW w:w="100" w:type="dxa"/>
            <w:vAlign w:val="bottom"/>
            <w:shd w:val="clear" w:color="auto" w:fill="0063A6"/>
          </w:tcPr>
          <w:p>
            <w:pPr>
              <w:spacing w:after="0"/>
              <w:rPr>
                <w:sz w:val="12"/>
                <w:szCs w:val="12"/>
                <w:color w:val="auto"/>
              </w:rPr>
            </w:pPr>
          </w:p>
        </w:tc>
        <w:tc>
          <w:tcPr>
            <w:tcW w:w="6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Revenue</w:t>
            </w: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0063A6"/>
          </w:tcPr>
          <w:p>
            <w:pPr>
              <w:spacing w:after="0"/>
              <w:rPr>
                <w:sz w:val="24"/>
                <w:szCs w:val="24"/>
                <w:color w:val="auto"/>
              </w:rPr>
            </w:pPr>
          </w:p>
        </w:tc>
        <w:tc>
          <w:tcPr>
            <w:tcW w:w="460" w:type="dxa"/>
            <w:vAlign w:val="bottom"/>
            <w:shd w:val="clear" w:color="auto" w:fill="0063A6"/>
          </w:tcPr>
          <w:p>
            <w:pPr>
              <w:ind w:left="40"/>
              <w:spacing w:after="0"/>
              <w:rPr>
                <w:sz w:val="20"/>
                <w:szCs w:val="20"/>
                <w:color w:val="auto"/>
              </w:rPr>
            </w:pPr>
            <w:r>
              <w:rPr>
                <w:rFonts w:ascii="Arial" w:cs="Arial" w:eastAsia="Arial" w:hAnsi="Arial"/>
                <w:sz w:val="13"/>
                <w:szCs w:val="13"/>
                <w:b w:val="1"/>
                <w:bCs w:val="1"/>
                <w:color w:val="FFFFFF"/>
              </w:rPr>
              <w:t>Year</w:t>
            </w:r>
          </w:p>
        </w:tc>
        <w:tc>
          <w:tcPr>
            <w:tcW w:w="14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22"/>
                <w:szCs w:val="22"/>
                <w:b w:val="1"/>
                <w:bCs w:val="1"/>
                <w:color w:val="FFFFFF"/>
                <w:w w:val="95"/>
                <w:vertAlign w:val="superscript"/>
              </w:rPr>
              <w:t>(1)</w:t>
            </w:r>
          </w:p>
        </w:tc>
        <w:tc>
          <w:tcPr>
            <w:tcW w:w="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10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PEO ($)</w:t>
            </w:r>
            <w:r>
              <w:rPr>
                <w:rFonts w:ascii="Arial" w:cs="Arial" w:eastAsia="Arial" w:hAnsi="Arial"/>
                <w:sz w:val="22"/>
                <w:szCs w:val="22"/>
                <w:b w:val="1"/>
                <w:bCs w:val="1"/>
                <w:color w:val="FFFFFF"/>
                <w:w w:val="98"/>
                <w:vertAlign w:val="superscript"/>
              </w:rPr>
              <w:t>(2)</w:t>
            </w:r>
          </w:p>
        </w:tc>
        <w:tc>
          <w:tcPr>
            <w:tcW w:w="60" w:type="dxa"/>
            <w:vAlign w:val="bottom"/>
            <w:shd w:val="clear" w:color="auto" w:fill="0063A6"/>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1"/>
                <w:szCs w:val="11"/>
                <w:b w:val="1"/>
                <w:bCs w:val="1"/>
                <w:color w:val="FFFFFF"/>
              </w:rPr>
              <w:t>(3)</w:t>
            </w:r>
          </w:p>
        </w:tc>
        <w:tc>
          <w:tcPr>
            <w:tcW w:w="100" w:type="dxa"/>
            <w:vAlign w:val="bottom"/>
            <w:shd w:val="clear" w:color="auto" w:fill="0063A6"/>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300" w:type="dxa"/>
            <w:vAlign w:val="bottom"/>
            <w:shd w:val="clear" w:color="auto" w:fill="0063A6"/>
          </w:tcPr>
          <w:p>
            <w:pPr>
              <w:jc w:val="center"/>
              <w:spacing w:after="0"/>
              <w:rPr>
                <w:sz w:val="20"/>
                <w:szCs w:val="20"/>
                <w:color w:val="auto"/>
              </w:rPr>
            </w:pPr>
            <w:r>
              <w:rPr>
                <w:rFonts w:ascii="Arial" w:cs="Arial" w:eastAsia="Arial" w:hAnsi="Arial"/>
                <w:sz w:val="11"/>
                <w:szCs w:val="11"/>
                <w:b w:val="1"/>
                <w:bCs w:val="1"/>
                <w:color w:val="FFFFFF"/>
              </w:rPr>
              <w:t>(4)</w:t>
            </w:r>
          </w:p>
        </w:tc>
        <w:tc>
          <w:tcPr>
            <w:tcW w:w="12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8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22"/>
                <w:szCs w:val="22"/>
                <w:b w:val="1"/>
                <w:bCs w:val="1"/>
                <w:color w:val="FFFFFF"/>
                <w:w w:val="98"/>
                <w:vertAlign w:val="superscript"/>
              </w:rPr>
              <w:t>(5)</w:t>
            </w:r>
          </w:p>
        </w:tc>
        <w:tc>
          <w:tcPr>
            <w:tcW w:w="6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8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Return ($)</w:t>
            </w:r>
            <w:r>
              <w:rPr>
                <w:rFonts w:ascii="Arial" w:cs="Arial" w:eastAsia="Arial" w:hAnsi="Arial"/>
                <w:sz w:val="22"/>
                <w:szCs w:val="22"/>
                <w:b w:val="1"/>
                <w:bCs w:val="1"/>
                <w:color w:val="FFFFFF"/>
                <w:w w:val="95"/>
                <w:vertAlign w:val="superscript"/>
              </w:rPr>
              <w:t>(6)</w:t>
            </w:r>
          </w:p>
        </w:tc>
        <w:tc>
          <w:tcPr>
            <w:tcW w:w="100" w:type="dxa"/>
            <w:vAlign w:val="bottom"/>
            <w:shd w:val="clear" w:color="auto" w:fill="0063A6"/>
          </w:tcPr>
          <w:p>
            <w:pPr>
              <w:spacing w:after="0"/>
              <w:rPr>
                <w:sz w:val="24"/>
                <w:szCs w:val="24"/>
                <w:color w:val="auto"/>
              </w:rPr>
            </w:pPr>
          </w:p>
        </w:tc>
        <w:tc>
          <w:tcPr>
            <w:tcW w:w="60" w:type="dxa"/>
            <w:vAlign w:val="bottom"/>
            <w:shd w:val="clear" w:color="auto" w:fill="0063A6"/>
          </w:tcPr>
          <w:p>
            <w:pPr>
              <w:spacing w:after="0"/>
              <w:rPr>
                <w:sz w:val="24"/>
                <w:szCs w:val="24"/>
                <w:color w:val="auto"/>
              </w:rPr>
            </w:pPr>
          </w:p>
        </w:tc>
        <w:tc>
          <w:tcPr>
            <w:tcW w:w="6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22"/>
                <w:szCs w:val="22"/>
                <w:b w:val="1"/>
                <w:bCs w:val="1"/>
                <w:color w:val="FFFFFF"/>
                <w:w w:val="93"/>
                <w:vertAlign w:val="superscript"/>
              </w:rPr>
              <w:t>(7)</w:t>
            </w:r>
          </w:p>
        </w:tc>
        <w:tc>
          <w:tcPr>
            <w:tcW w:w="100" w:type="dxa"/>
            <w:vAlign w:val="bottom"/>
            <w:shd w:val="clear" w:color="auto" w:fill="0063A6"/>
          </w:tcPr>
          <w:p>
            <w:pPr>
              <w:spacing w:after="0"/>
              <w:rPr>
                <w:sz w:val="24"/>
                <w:szCs w:val="24"/>
                <w:color w:val="auto"/>
              </w:rPr>
            </w:pPr>
          </w:p>
        </w:tc>
        <w:tc>
          <w:tcPr>
            <w:tcW w:w="6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22"/>
                <w:szCs w:val="22"/>
                <w:b w:val="1"/>
                <w:bCs w:val="1"/>
                <w:color w:val="FFFFFF"/>
                <w:w w:val="93"/>
                <w:vertAlign w:val="superscript"/>
              </w:rPr>
              <w:t>(8)</w:t>
            </w:r>
          </w:p>
        </w:tc>
        <w:tc>
          <w:tcPr>
            <w:tcW w:w="1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60" w:type="dxa"/>
            <w:vAlign w:val="bottom"/>
            <w:shd w:val="clear" w:color="auto" w:fill="F2F2F2"/>
          </w:tcPr>
          <w:p>
            <w:pPr>
              <w:ind w:left="4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1,146,000</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00" w:type="dxa"/>
            <w:vAlign w:val="bottom"/>
            <w:gridSpan w:val="2"/>
            <w:shd w:val="clear" w:color="auto" w:fill="F2F2F2"/>
          </w:tcPr>
          <w:p>
            <w:pPr>
              <w:jc w:val="right"/>
              <w:ind w:right="31"/>
              <w:spacing w:after="0"/>
              <w:rPr>
                <w:sz w:val="20"/>
                <w:szCs w:val="20"/>
                <w:color w:val="auto"/>
              </w:rPr>
            </w:pPr>
            <w:r>
              <w:rPr>
                <w:rFonts w:ascii="Arial" w:cs="Arial" w:eastAsia="Arial" w:hAnsi="Arial"/>
                <w:sz w:val="16"/>
                <w:szCs w:val="16"/>
                <w:color w:val="auto"/>
              </w:rPr>
              <w:t xml:space="preserve">-22,783,000 </w:t>
            </w:r>
            <w:r>
              <w:rPr>
                <w:rFonts w:ascii="Arial" w:cs="Arial" w:eastAsia="Arial" w:hAnsi="Arial"/>
                <w:sz w:val="3"/>
                <w:szCs w:val="3"/>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right"/>
              <w:ind w:right="169"/>
              <w:spacing w:after="0"/>
              <w:rPr>
                <w:sz w:val="20"/>
                <w:szCs w:val="20"/>
                <w:color w:val="auto"/>
              </w:rPr>
            </w:pPr>
            <w:r>
              <w:rPr>
                <w:rFonts w:ascii="Arial" w:cs="Arial" w:eastAsia="Arial" w:hAnsi="Arial"/>
                <w:sz w:val="16"/>
                <w:szCs w:val="16"/>
                <w:color w:val="auto"/>
              </w:rPr>
              <w:t>3,473,372</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right"/>
              <w:ind w:right="169"/>
              <w:spacing w:after="0"/>
              <w:rPr>
                <w:sz w:val="20"/>
                <w:szCs w:val="20"/>
                <w:color w:val="auto"/>
              </w:rPr>
            </w:pPr>
            <w:r>
              <w:rPr>
                <w:rFonts w:ascii="Arial" w:cs="Arial" w:eastAsia="Arial" w:hAnsi="Arial"/>
                <w:sz w:val="16"/>
                <w:szCs w:val="16"/>
                <w:color w:val="auto"/>
              </w:rPr>
              <w:t>528,487</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124.96</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jc w:val="center"/>
              <w:spacing w:after="0"/>
              <w:rPr>
                <w:sz w:val="20"/>
                <w:szCs w:val="20"/>
                <w:color w:val="auto"/>
              </w:rPr>
            </w:pPr>
            <w:r>
              <w:rPr>
                <w:rFonts w:ascii="Arial" w:cs="Arial" w:eastAsia="Arial" w:hAnsi="Arial"/>
                <w:sz w:val="4"/>
                <w:szCs w:val="4"/>
                <w:color w:val="auto"/>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132.79</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6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xml:space="preserve">553.2 </w:t>
            </w:r>
            <w:r>
              <w:rPr>
                <w:rFonts w:ascii="Arial" w:cs="Arial" w:eastAsia="Arial" w:hAnsi="Arial"/>
                <w:sz w:val="3"/>
                <w:szCs w:val="3"/>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2,357</w:t>
            </w: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100" w:type="dxa"/>
            <w:vAlign w:val="bottom"/>
            <w:gridSpan w:val="2"/>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60" w:type="dxa"/>
            <w:vAlign w:val="bottom"/>
            <w:shd w:val="clear" w:color="auto" w:fill="F2F2F2"/>
          </w:tcPr>
          <w:p>
            <w:pPr>
              <w:spacing w:after="0"/>
              <w:rPr>
                <w:sz w:val="7"/>
                <w:szCs w:val="7"/>
                <w:color w:val="auto"/>
              </w:rPr>
            </w:pPr>
          </w:p>
        </w:tc>
        <w:tc>
          <w:tcPr>
            <w:tcW w:w="6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62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980" w:type="dxa"/>
            <w:vAlign w:val="bottom"/>
          </w:tcPr>
          <w:p>
            <w:pPr>
              <w:jc w:val="center"/>
              <w:spacing w:after="0"/>
              <w:rPr>
                <w:sz w:val="20"/>
                <w:szCs w:val="20"/>
                <w:color w:val="auto"/>
              </w:rPr>
            </w:pPr>
            <w:r>
              <w:rPr>
                <w:rFonts w:ascii="Arial" w:cs="Arial" w:eastAsia="Arial" w:hAnsi="Arial"/>
                <w:sz w:val="16"/>
                <w:szCs w:val="16"/>
                <w:color w:val="auto"/>
              </w:rPr>
              <w:t>1,515,269</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ind w:left="60"/>
              <w:spacing w:after="0"/>
              <w:rPr>
                <w:sz w:val="20"/>
                <w:szCs w:val="20"/>
                <w:color w:val="auto"/>
              </w:rPr>
            </w:pPr>
            <w:r>
              <w:rPr>
                <w:rFonts w:ascii="Arial" w:cs="Arial" w:eastAsia="Arial" w:hAnsi="Arial"/>
                <w:sz w:val="4"/>
                <w:szCs w:val="4"/>
                <w:color w:val="auto"/>
              </w:rPr>
              <w:t>​</w:t>
            </w:r>
          </w:p>
        </w:tc>
        <w:tc>
          <w:tcPr>
            <w:tcW w:w="1100" w:type="dxa"/>
            <w:vAlign w:val="bottom"/>
            <w:gridSpan w:val="2"/>
          </w:tcPr>
          <w:p>
            <w:pPr>
              <w:jc w:val="right"/>
              <w:ind w:right="31"/>
              <w:spacing w:after="0"/>
              <w:rPr>
                <w:sz w:val="20"/>
                <w:szCs w:val="20"/>
                <w:color w:val="auto"/>
              </w:rPr>
            </w:pPr>
            <w:r>
              <w:rPr>
                <w:rFonts w:ascii="Arial" w:cs="Arial" w:eastAsia="Arial" w:hAnsi="Arial"/>
                <w:sz w:val="16"/>
                <w:szCs w:val="16"/>
                <w:color w:val="auto"/>
              </w:rPr>
              <w:t xml:space="preserve">25,163,611 </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00" w:type="dxa"/>
            <w:vAlign w:val="bottom"/>
          </w:tcPr>
          <w:p>
            <w:pPr>
              <w:jc w:val="right"/>
              <w:ind w:right="169"/>
              <w:spacing w:after="0"/>
              <w:rPr>
                <w:sz w:val="20"/>
                <w:szCs w:val="20"/>
                <w:color w:val="auto"/>
              </w:rPr>
            </w:pPr>
            <w:r>
              <w:rPr>
                <w:rFonts w:ascii="Arial" w:cs="Arial" w:eastAsia="Arial" w:hAnsi="Arial"/>
                <w:sz w:val="16"/>
                <w:szCs w:val="16"/>
                <w:color w:val="auto"/>
              </w:rPr>
              <w:t>2,832,378</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300" w:type="dxa"/>
            <w:vAlign w:val="bottom"/>
          </w:tcPr>
          <w:p>
            <w:pPr>
              <w:jc w:val="right"/>
              <w:ind w:right="169"/>
              <w:spacing w:after="0"/>
              <w:rPr>
                <w:sz w:val="20"/>
                <w:szCs w:val="20"/>
                <w:color w:val="auto"/>
              </w:rPr>
            </w:pPr>
            <w:r>
              <w:rPr>
                <w:rFonts w:ascii="Arial" w:cs="Arial" w:eastAsia="Arial" w:hAnsi="Arial"/>
                <w:sz w:val="16"/>
                <w:szCs w:val="16"/>
                <w:color w:val="auto"/>
              </w:rPr>
              <w:t>1,261,953</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137.02</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00" w:type="dxa"/>
            <w:vAlign w:val="bottom"/>
          </w:tcPr>
          <w:p>
            <w:pPr>
              <w:jc w:val="center"/>
              <w:spacing w:after="0"/>
              <w:rPr>
                <w:sz w:val="20"/>
                <w:szCs w:val="20"/>
                <w:color w:val="auto"/>
              </w:rPr>
            </w:pPr>
            <w:r>
              <w:rPr>
                <w:rFonts w:ascii="Arial" w:cs="Arial" w:eastAsia="Arial" w:hAnsi="Arial"/>
                <w:sz w:val="4"/>
                <w:szCs w:val="4"/>
                <w:color w:val="auto"/>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206.76</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xml:space="preserve">335.8 </w:t>
            </w:r>
            <w:r>
              <w:rPr>
                <w:rFonts w:ascii="Arial" w:cs="Arial" w:eastAsia="Arial" w:hAnsi="Arial"/>
                <w:sz w:val="3"/>
                <w:szCs w:val="3"/>
                <w:color w:val="auto"/>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620" w:type="dxa"/>
            <w:vAlign w:val="bottom"/>
          </w:tcPr>
          <w:p>
            <w:pPr>
              <w:jc w:val="center"/>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60" w:type="dxa"/>
            <w:vAlign w:val="bottom"/>
            <w:shd w:val="clear" w:color="auto" w:fill="F2F2F2"/>
          </w:tcPr>
          <w:p>
            <w:pPr>
              <w:ind w:left="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1,268,889</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100" w:type="dxa"/>
            <w:vAlign w:val="bottom"/>
            <w:gridSpan w:val="2"/>
            <w:shd w:val="clear" w:color="auto" w:fill="F2F2F2"/>
          </w:tcPr>
          <w:p>
            <w:pPr>
              <w:jc w:val="right"/>
              <w:ind w:right="31"/>
              <w:spacing w:after="0"/>
              <w:rPr>
                <w:sz w:val="20"/>
                <w:szCs w:val="20"/>
                <w:color w:val="auto"/>
              </w:rPr>
            </w:pPr>
            <w:r>
              <w:rPr>
                <w:rFonts w:ascii="Arial" w:cs="Arial" w:eastAsia="Arial" w:hAnsi="Arial"/>
                <w:sz w:val="16"/>
                <w:szCs w:val="16"/>
                <w:color w:val="auto"/>
              </w:rPr>
              <w:t xml:space="preserve">39,123,889 </w:t>
            </w:r>
            <w:r>
              <w:rPr>
                <w:rFonts w:ascii="Arial" w:cs="Arial" w:eastAsia="Arial" w:hAnsi="Arial"/>
                <w:sz w:val="3"/>
                <w:szCs w:val="3"/>
                <w:color w:val="auto"/>
              </w:rPr>
              <w:t>​</w:t>
            </w:r>
          </w:p>
        </w:tc>
        <w:tc>
          <w:tcPr>
            <w:tcW w:w="14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10,219,177</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10,392,482</w:t>
            </w:r>
          </w:p>
        </w:tc>
        <w:tc>
          <w:tcPr>
            <w:tcW w:w="12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123.90</w:t>
            </w:r>
          </w:p>
        </w:tc>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00" w:type="dxa"/>
            <w:vAlign w:val="bottom"/>
            <w:shd w:val="clear" w:color="auto" w:fill="F2F2F2"/>
          </w:tcPr>
          <w:p>
            <w:pPr>
              <w:jc w:val="center"/>
              <w:spacing w:after="0"/>
              <w:rPr>
                <w:sz w:val="20"/>
                <w:szCs w:val="20"/>
                <w:color w:val="auto"/>
              </w:rPr>
            </w:pPr>
            <w:r>
              <w:rPr>
                <w:rFonts w:ascii="Arial" w:cs="Arial" w:eastAsia="Arial" w:hAnsi="Arial"/>
                <w:sz w:val="4"/>
                <w:szCs w:val="4"/>
                <w:color w:val="auto"/>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149.98</w:t>
            </w:r>
          </w:p>
        </w:tc>
        <w:tc>
          <w:tcPr>
            <w:tcW w:w="10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6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xml:space="preserve">-256.3 </w:t>
            </w:r>
            <w:r>
              <w:rPr>
                <w:rFonts w:ascii="Arial" w:cs="Arial" w:eastAsia="Arial" w:hAnsi="Arial"/>
                <w:sz w:val="3"/>
                <w:szCs w:val="3"/>
                <w:color w:val="auto"/>
              </w:rPr>
              <w:t>​</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0"/>
        </w:trPr>
        <w:tc>
          <w:tcPr>
            <w:tcW w:w="40" w:type="dxa"/>
            <w:vAlign w:val="bottom"/>
            <w:shd w:val="clear" w:color="auto" w:fill="F2F2F2"/>
          </w:tcPr>
          <w:p>
            <w:pPr>
              <w:spacing w:after="0"/>
              <w:rPr>
                <w:sz w:val="5"/>
                <w:szCs w:val="5"/>
                <w:color w:val="auto"/>
              </w:rPr>
            </w:pPr>
          </w:p>
        </w:tc>
        <w:tc>
          <w:tcPr>
            <w:tcW w:w="46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6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040" w:type="dxa"/>
            <w:vAlign w:val="bottom"/>
            <w:shd w:val="clear" w:color="auto" w:fill="F2F2F2"/>
          </w:tcPr>
          <w:p>
            <w:pPr>
              <w:spacing w:after="0"/>
              <w:rPr>
                <w:sz w:val="5"/>
                <w:szCs w:val="5"/>
                <w:color w:val="auto"/>
              </w:rPr>
            </w:pPr>
          </w:p>
        </w:tc>
        <w:tc>
          <w:tcPr>
            <w:tcW w:w="6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30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130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6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6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62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4" w:right="220" w:hanging="244"/>
        <w:spacing w:after="0" w:line="213" w:lineRule="auto"/>
        <w:tabs>
          <w:tab w:leader="none" w:pos="244"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 dollar amounts reported in column (b) are the amounts of total compensation reported for Mr. Houston, our Chief Executive Officer (“</w:t>
      </w:r>
      <w:r>
        <w:rPr>
          <w:rFonts w:ascii="Arial" w:cs="Arial" w:eastAsia="Arial" w:hAnsi="Arial"/>
          <w:sz w:val="14"/>
          <w:szCs w:val="14"/>
          <w:b w:val="1"/>
          <w:bCs w:val="1"/>
          <w:i w:val="1"/>
          <w:iCs w:val="1"/>
          <w:color w:val="auto"/>
        </w:rPr>
        <w:t>PEO</w:t>
      </w:r>
      <w:r>
        <w:rPr>
          <w:rFonts w:ascii="Arial" w:cs="Arial" w:eastAsia="Arial" w:hAnsi="Arial"/>
          <w:sz w:val="14"/>
          <w:szCs w:val="14"/>
          <w:color w:val="auto"/>
        </w:rPr>
        <w:t>”), for each corresponding year in the “Total” column of the applicable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Refer to “</w:t>
      </w:r>
      <w:r>
        <w:rPr>
          <w:rFonts w:ascii="Arial" w:cs="Arial" w:eastAsia="Arial" w:hAnsi="Arial"/>
          <w:sz w:val="14"/>
          <w:szCs w:val="14"/>
          <w:i w:val="1"/>
          <w:iCs w:val="1"/>
          <w:color w:val="auto"/>
        </w:rPr>
        <w:t>Executive Compensation –</w:t>
      </w:r>
      <w:r>
        <w:rPr>
          <w:rFonts w:ascii="Arial" w:cs="Arial" w:eastAsia="Arial" w:hAnsi="Arial"/>
          <w:sz w:val="14"/>
          <w:szCs w:val="14"/>
          <w:color w:val="auto"/>
        </w:rPr>
        <w:t xml:space="preserv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5" w:lineRule="exact"/>
        <w:rPr>
          <w:rFonts w:ascii="Arial" w:cs="Arial" w:eastAsia="Arial" w:hAnsi="Arial"/>
          <w:sz w:val="22"/>
          <w:szCs w:val="22"/>
          <w:color w:val="auto"/>
          <w:vertAlign w:val="superscript"/>
        </w:rPr>
      </w:pPr>
    </w:p>
    <w:p>
      <w:pPr>
        <w:ind w:left="244" w:right="60" w:hanging="244"/>
        <w:spacing w:after="0" w:line="214" w:lineRule="auto"/>
        <w:tabs>
          <w:tab w:leader="none" w:pos="244"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43180</wp:posOffset>
            </wp:positionV>
            <wp:extent cx="5915025" cy="10972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5025" cy="1097280"/>
                    </a:xfrm>
                    <a:prstGeom prst="rect">
                      <a:avLst/>
                    </a:prstGeom>
                    <a:noFill/>
                  </pic:spPr>
                </pic:pic>
              </a:graphicData>
            </a:graphic>
          </wp:anchor>
        </w:drawing>
      </w:r>
    </w:p>
    <w:p>
      <w:pPr>
        <w:spacing w:after="0" w:line="48" w:lineRule="exact"/>
        <w:rPr>
          <w:sz w:val="20"/>
          <w:szCs w:val="20"/>
          <w:color w:val="auto"/>
        </w:rPr>
      </w:pPr>
    </w:p>
    <w:tbl>
      <w:tblPr>
        <w:tblLayout w:type="fixed"/>
        <w:tblInd w:w="244" w:type="dxa"/>
        <w:tblCellMar>
          <w:top w:w="0" w:type="dxa"/>
          <w:left w:w="0" w:type="dxa"/>
          <w:bottom w:w="0" w:type="dxa"/>
          <w:right w:w="0" w:type="dxa"/>
        </w:tblCellMar>
      </w:tblPr>
      <w:tr>
        <w:trPr>
          <w:trHeight w:val="270"/>
        </w:trPr>
        <w:tc>
          <w:tcPr>
            <w:tcW w:w="60" w:type="dxa"/>
            <w:vAlign w:val="bottom"/>
            <w:shd w:val="clear" w:color="auto" w:fill="0063A6"/>
          </w:tcPr>
          <w:p>
            <w:pPr>
              <w:spacing w:after="0"/>
              <w:rPr>
                <w:sz w:val="23"/>
                <w:szCs w:val="23"/>
                <w:color w:val="auto"/>
              </w:rPr>
            </w:pPr>
          </w:p>
        </w:tc>
        <w:tc>
          <w:tcPr>
            <w:tcW w:w="720" w:type="dxa"/>
            <w:vAlign w:val="bottom"/>
            <w:shd w:val="clear" w:color="auto" w:fill="0063A6"/>
          </w:tcPr>
          <w:p>
            <w:pPr>
              <w:spacing w:after="0"/>
              <w:rPr>
                <w:sz w:val="23"/>
                <w:szCs w:val="23"/>
                <w:color w:val="auto"/>
              </w:rPr>
            </w:pPr>
          </w:p>
        </w:tc>
        <w:tc>
          <w:tcPr>
            <w:tcW w:w="560" w:type="dxa"/>
            <w:vAlign w:val="bottom"/>
            <w:shd w:val="clear" w:color="auto" w:fill="0063A6"/>
          </w:tcPr>
          <w:p>
            <w:pPr>
              <w:spacing w:after="0"/>
              <w:rPr>
                <w:sz w:val="23"/>
                <w:szCs w:val="23"/>
                <w:color w:val="auto"/>
              </w:rPr>
            </w:pPr>
          </w:p>
        </w:tc>
        <w:tc>
          <w:tcPr>
            <w:tcW w:w="380" w:type="dxa"/>
            <w:vAlign w:val="bottom"/>
            <w:shd w:val="clear" w:color="auto" w:fill="0063A6"/>
          </w:tcPr>
          <w:p>
            <w:pPr>
              <w:spacing w:after="0"/>
              <w:rPr>
                <w:sz w:val="23"/>
                <w:szCs w:val="23"/>
                <w:color w:val="auto"/>
              </w:rPr>
            </w:pPr>
          </w:p>
        </w:tc>
        <w:tc>
          <w:tcPr>
            <w:tcW w:w="1720" w:type="dxa"/>
            <w:vAlign w:val="bottom"/>
            <w:shd w:val="clear" w:color="auto" w:fill="0063A6"/>
          </w:tcPr>
          <w:p>
            <w:pPr>
              <w:ind w:left="640"/>
              <w:spacing w:after="0"/>
              <w:rPr>
                <w:sz w:val="20"/>
                <w:szCs w:val="20"/>
                <w:color w:val="auto"/>
              </w:rPr>
            </w:pPr>
            <w:r>
              <w:rPr>
                <w:rFonts w:ascii="Arial" w:cs="Arial" w:eastAsia="Arial" w:hAnsi="Arial"/>
                <w:sz w:val="13"/>
                <w:szCs w:val="13"/>
                <w:b w:val="1"/>
                <w:bCs w:val="1"/>
                <w:color w:val="FFFFFF"/>
              </w:rPr>
              <w:t>Reported</w:t>
            </w:r>
          </w:p>
        </w:tc>
        <w:tc>
          <w:tcPr>
            <w:tcW w:w="240" w:type="dxa"/>
            <w:vAlign w:val="bottom"/>
            <w:shd w:val="clear" w:color="auto" w:fill="0063A6"/>
          </w:tcPr>
          <w:p>
            <w:pPr>
              <w:spacing w:after="0"/>
              <w:rPr>
                <w:sz w:val="23"/>
                <w:szCs w:val="23"/>
                <w:color w:val="auto"/>
              </w:rPr>
            </w:pPr>
          </w:p>
        </w:tc>
        <w:tc>
          <w:tcPr>
            <w:tcW w:w="360" w:type="dxa"/>
            <w:vAlign w:val="bottom"/>
            <w:shd w:val="clear" w:color="auto" w:fill="0063A6"/>
          </w:tcPr>
          <w:p>
            <w:pPr>
              <w:spacing w:after="0"/>
              <w:rPr>
                <w:sz w:val="23"/>
                <w:szCs w:val="23"/>
                <w:color w:val="auto"/>
              </w:rPr>
            </w:pPr>
          </w:p>
        </w:tc>
        <w:tc>
          <w:tcPr>
            <w:tcW w:w="1100" w:type="dxa"/>
            <w:vAlign w:val="bottom"/>
            <w:shd w:val="clear" w:color="auto" w:fill="0063A6"/>
          </w:tcPr>
          <w:p>
            <w:pPr>
              <w:jc w:val="center"/>
              <w:ind w:left="90"/>
              <w:spacing w:after="0"/>
              <w:rPr>
                <w:sz w:val="20"/>
                <w:szCs w:val="20"/>
                <w:color w:val="auto"/>
              </w:rPr>
            </w:pPr>
            <w:r>
              <w:rPr>
                <w:rFonts w:ascii="Arial" w:cs="Arial" w:eastAsia="Arial" w:hAnsi="Arial"/>
                <w:sz w:val="13"/>
                <w:szCs w:val="13"/>
                <w:b w:val="1"/>
                <w:bCs w:val="1"/>
                <w:color w:val="FFFFFF"/>
              </w:rPr>
              <w:t>Reported</w:t>
            </w:r>
          </w:p>
        </w:tc>
        <w:tc>
          <w:tcPr>
            <w:tcW w:w="240" w:type="dxa"/>
            <w:vAlign w:val="bottom"/>
            <w:shd w:val="clear" w:color="auto" w:fill="0063A6"/>
          </w:tcPr>
          <w:p>
            <w:pPr>
              <w:spacing w:after="0"/>
              <w:rPr>
                <w:sz w:val="23"/>
                <w:szCs w:val="23"/>
                <w:color w:val="auto"/>
              </w:rPr>
            </w:pPr>
          </w:p>
        </w:tc>
        <w:tc>
          <w:tcPr>
            <w:tcW w:w="380" w:type="dxa"/>
            <w:vAlign w:val="bottom"/>
            <w:shd w:val="clear" w:color="auto" w:fill="0063A6"/>
          </w:tcPr>
          <w:p>
            <w:pPr>
              <w:spacing w:after="0"/>
              <w:rPr>
                <w:sz w:val="23"/>
                <w:szCs w:val="23"/>
                <w:color w:val="auto"/>
              </w:rPr>
            </w:pPr>
          </w:p>
        </w:tc>
        <w:tc>
          <w:tcPr>
            <w:tcW w:w="1180" w:type="dxa"/>
            <w:vAlign w:val="bottom"/>
            <w:shd w:val="clear" w:color="auto" w:fill="0063A6"/>
          </w:tcPr>
          <w:p>
            <w:pPr>
              <w:jc w:val="right"/>
              <w:spacing w:after="0"/>
              <w:rPr>
                <w:sz w:val="20"/>
                <w:szCs w:val="20"/>
                <w:color w:val="auto"/>
              </w:rPr>
            </w:pPr>
            <w:r>
              <w:rPr>
                <w:rFonts w:ascii="Arial" w:cs="Arial" w:eastAsia="Arial" w:hAnsi="Arial"/>
                <w:sz w:val="13"/>
                <w:szCs w:val="13"/>
                <w:b w:val="1"/>
                <w:bCs w:val="1"/>
                <w:color w:val="FFFFFF"/>
              </w:rPr>
              <w:t>Equity Award</w:t>
            </w:r>
          </w:p>
        </w:tc>
        <w:tc>
          <w:tcPr>
            <w:tcW w:w="280" w:type="dxa"/>
            <w:vAlign w:val="bottom"/>
            <w:shd w:val="clear" w:color="auto" w:fill="0063A6"/>
          </w:tcPr>
          <w:p>
            <w:pPr>
              <w:spacing w:after="0"/>
              <w:rPr>
                <w:sz w:val="23"/>
                <w:szCs w:val="23"/>
                <w:color w:val="auto"/>
              </w:rPr>
            </w:pPr>
          </w:p>
        </w:tc>
        <w:tc>
          <w:tcPr>
            <w:tcW w:w="480" w:type="dxa"/>
            <w:vAlign w:val="bottom"/>
            <w:shd w:val="clear" w:color="auto" w:fill="0063A6"/>
          </w:tcPr>
          <w:p>
            <w:pPr>
              <w:spacing w:after="0"/>
              <w:rPr>
                <w:sz w:val="23"/>
                <w:szCs w:val="23"/>
                <w:color w:val="auto"/>
              </w:rPr>
            </w:pPr>
          </w:p>
        </w:tc>
        <w:tc>
          <w:tcPr>
            <w:tcW w:w="1380" w:type="dxa"/>
            <w:vAlign w:val="bottom"/>
            <w:shd w:val="clear" w:color="auto" w:fill="0063A6"/>
          </w:tcPr>
          <w:p>
            <w:pPr>
              <w:jc w:val="center"/>
              <w:ind w:left="90"/>
              <w:spacing w:after="0"/>
              <w:rPr>
                <w:sz w:val="20"/>
                <w:szCs w:val="20"/>
                <w:color w:val="auto"/>
              </w:rPr>
            </w:pPr>
            <w:r>
              <w:rPr>
                <w:rFonts w:ascii="Arial" w:cs="Arial" w:eastAsia="Arial" w:hAnsi="Arial"/>
                <w:sz w:val="13"/>
                <w:szCs w:val="13"/>
                <w:b w:val="1"/>
                <w:bCs w:val="1"/>
                <w:color w:val="FFFFFF"/>
              </w:rPr>
              <w:t>Compensation</w:t>
            </w:r>
          </w:p>
        </w:tc>
        <w:tc>
          <w:tcPr>
            <w:tcW w:w="240" w:type="dxa"/>
            <w:vAlign w:val="bottom"/>
            <w:shd w:val="clear" w:color="auto" w:fill="0063A6"/>
          </w:tcPr>
          <w:p>
            <w:pPr>
              <w:spacing w:after="0"/>
              <w:rPr>
                <w:sz w:val="23"/>
                <w:szCs w:val="23"/>
                <w:color w:val="auto"/>
              </w:rPr>
            </w:pPr>
          </w:p>
        </w:tc>
      </w:tr>
      <w:tr>
        <w:trPr>
          <w:trHeight w:val="148"/>
        </w:trPr>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720" w:type="dxa"/>
            <w:vAlign w:val="bottom"/>
            <w:shd w:val="clear" w:color="auto" w:fill="0063A6"/>
          </w:tcPr>
          <w:p>
            <w:pPr>
              <w:spacing w:after="0"/>
              <w:rPr>
                <w:sz w:val="12"/>
                <w:szCs w:val="12"/>
                <w:color w:val="auto"/>
              </w:rPr>
            </w:pPr>
          </w:p>
        </w:tc>
        <w:tc>
          <w:tcPr>
            <w:tcW w:w="560" w:type="dxa"/>
            <w:vAlign w:val="bottom"/>
            <w:shd w:val="clear" w:color="auto" w:fill="0063A6"/>
          </w:tcPr>
          <w:p>
            <w:pPr>
              <w:ind w:left="380"/>
              <w:spacing w:after="0"/>
              <w:rPr>
                <w:sz w:val="20"/>
                <w:szCs w:val="20"/>
                <w:color w:val="auto"/>
              </w:rPr>
            </w:pPr>
            <w:r>
              <w:rPr>
                <w:rFonts w:ascii="Arial" w:cs="Arial" w:eastAsia="Arial" w:hAnsi="Arial"/>
                <w:sz w:val="4"/>
                <w:szCs w:val="4"/>
                <w:color w:val="auto"/>
              </w:rPr>
              <w:t>​</w:t>
            </w:r>
          </w:p>
        </w:tc>
        <w:tc>
          <w:tcPr>
            <w:tcW w:w="380" w:type="dxa"/>
            <w:vAlign w:val="bottom"/>
            <w:shd w:val="clear" w:color="auto" w:fill="0063A6"/>
          </w:tcPr>
          <w:p>
            <w:pPr>
              <w:ind w:left="200"/>
              <w:spacing w:after="0"/>
              <w:rPr>
                <w:sz w:val="20"/>
                <w:szCs w:val="20"/>
                <w:color w:val="auto"/>
              </w:rPr>
            </w:pPr>
            <w:r>
              <w:rPr>
                <w:rFonts w:ascii="Arial" w:cs="Arial" w:eastAsia="Arial" w:hAnsi="Arial"/>
                <w:sz w:val="4"/>
                <w:szCs w:val="4"/>
                <w:color w:val="auto"/>
              </w:rPr>
              <w:t>​</w:t>
            </w:r>
          </w:p>
        </w:tc>
        <w:tc>
          <w:tcPr>
            <w:tcW w:w="1960" w:type="dxa"/>
            <w:vAlign w:val="bottom"/>
            <w:gridSpan w:val="2"/>
            <w:shd w:val="clear" w:color="auto" w:fill="0063A6"/>
          </w:tcPr>
          <w:p>
            <w:pPr>
              <w:jc w:val="center"/>
              <w:ind w:right="22"/>
              <w:spacing w:after="0"/>
              <w:rPr>
                <w:sz w:val="20"/>
                <w:szCs w:val="20"/>
                <w:color w:val="auto"/>
              </w:rPr>
            </w:pPr>
            <w:r>
              <w:rPr>
                <w:rFonts w:ascii="Arial" w:cs="Arial" w:eastAsia="Arial" w:hAnsi="Arial"/>
                <w:sz w:val="13"/>
                <w:szCs w:val="13"/>
                <w:b w:val="1"/>
                <w:bCs w:val="1"/>
                <w:color w:val="FFFFFF"/>
              </w:rPr>
              <w:t>Summary Compensation</w:t>
            </w:r>
            <w:r>
              <w:rPr>
                <w:rFonts w:ascii="Arial" w:cs="Arial" w:eastAsia="Arial" w:hAnsi="Arial"/>
                <w:sz w:val="3"/>
                <w:szCs w:val="3"/>
                <w:color w:val="000000"/>
              </w:rPr>
              <w:t>​</w:t>
            </w:r>
          </w:p>
        </w:tc>
        <w:tc>
          <w:tcPr>
            <w:tcW w:w="36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340" w:type="dxa"/>
            <w:vAlign w:val="bottom"/>
            <w:gridSpan w:val="2"/>
            <w:shd w:val="clear" w:color="auto" w:fill="0063A6"/>
          </w:tcPr>
          <w:p>
            <w:pPr>
              <w:jc w:val="right"/>
              <w:ind w:right="182"/>
              <w:spacing w:after="0"/>
              <w:rPr>
                <w:sz w:val="20"/>
                <w:szCs w:val="20"/>
                <w:color w:val="auto"/>
              </w:rPr>
            </w:pPr>
            <w:r>
              <w:rPr>
                <w:rFonts w:ascii="Arial" w:cs="Arial" w:eastAsia="Arial" w:hAnsi="Arial"/>
                <w:sz w:val="13"/>
                <w:szCs w:val="13"/>
                <w:b w:val="1"/>
                <w:bCs w:val="1"/>
                <w:color w:val="FFFFFF"/>
              </w:rPr>
              <w:t>Value of Equity</w:t>
            </w:r>
            <w:r>
              <w:rPr>
                <w:rFonts w:ascii="Arial" w:cs="Arial" w:eastAsia="Arial" w:hAnsi="Arial"/>
                <w:sz w:val="3"/>
                <w:szCs w:val="3"/>
                <w:color w:val="000000"/>
              </w:rPr>
              <w:t>​</w:t>
            </w:r>
          </w:p>
        </w:tc>
        <w:tc>
          <w:tcPr>
            <w:tcW w:w="38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460" w:type="dxa"/>
            <w:vAlign w:val="bottom"/>
            <w:gridSpan w:val="2"/>
            <w:shd w:val="clear" w:color="auto" w:fill="0063A6"/>
          </w:tcPr>
          <w:p>
            <w:pPr>
              <w:jc w:val="right"/>
              <w:ind w:right="162"/>
              <w:spacing w:after="0"/>
              <w:rPr>
                <w:sz w:val="20"/>
                <w:szCs w:val="20"/>
                <w:color w:val="auto"/>
              </w:rPr>
            </w:pPr>
            <w:r>
              <w:rPr>
                <w:rFonts w:ascii="Arial" w:cs="Arial" w:eastAsia="Arial" w:hAnsi="Arial"/>
                <w:sz w:val="13"/>
                <w:szCs w:val="13"/>
                <w:b w:val="1"/>
                <w:bCs w:val="1"/>
                <w:color w:val="FFFFFF"/>
              </w:rPr>
              <w:t xml:space="preserve">Adjustments ($) </w:t>
            </w:r>
            <w:r>
              <w:rPr>
                <w:rFonts w:ascii="Arial" w:cs="Arial" w:eastAsia="Arial" w:hAnsi="Arial"/>
                <w:sz w:val="3"/>
                <w:szCs w:val="3"/>
                <w:color w:val="000000"/>
              </w:rPr>
              <w:t>​</w:t>
            </w:r>
          </w:p>
        </w:tc>
        <w:tc>
          <w:tcPr>
            <w:tcW w:w="48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380" w:type="dxa"/>
            <w:vAlign w:val="bottom"/>
            <w:shd w:val="clear" w:color="auto" w:fill="0063A6"/>
          </w:tcPr>
          <w:p>
            <w:pPr>
              <w:jc w:val="center"/>
              <w:ind w:left="70"/>
              <w:spacing w:after="0"/>
              <w:rPr>
                <w:sz w:val="20"/>
                <w:szCs w:val="20"/>
                <w:color w:val="auto"/>
              </w:rPr>
            </w:pPr>
            <w:r>
              <w:rPr>
                <w:rFonts w:ascii="Arial" w:cs="Arial" w:eastAsia="Arial" w:hAnsi="Arial"/>
                <w:sz w:val="13"/>
                <w:szCs w:val="13"/>
                <w:b w:val="1"/>
                <w:bCs w:val="1"/>
                <w:color w:val="FFFFFF"/>
              </w:rPr>
              <w:t>Actually</w:t>
            </w:r>
          </w:p>
        </w:tc>
        <w:tc>
          <w:tcPr>
            <w:tcW w:w="24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r>
      <w:tr>
        <w:trPr>
          <w:trHeight w:val="270"/>
        </w:trPr>
        <w:tc>
          <w:tcPr>
            <w:tcW w:w="60" w:type="dxa"/>
            <w:vAlign w:val="bottom"/>
            <w:shd w:val="clear" w:color="auto" w:fill="0063A6"/>
          </w:tcPr>
          <w:p>
            <w:pPr>
              <w:spacing w:after="0"/>
              <w:rPr>
                <w:sz w:val="23"/>
                <w:szCs w:val="23"/>
                <w:color w:val="auto"/>
              </w:rPr>
            </w:pPr>
          </w:p>
        </w:tc>
        <w:tc>
          <w:tcPr>
            <w:tcW w:w="720" w:type="dxa"/>
            <w:vAlign w:val="bottom"/>
            <w:shd w:val="clear" w:color="auto" w:fill="0063A6"/>
          </w:tcPr>
          <w:p>
            <w:pPr>
              <w:ind w:left="40"/>
              <w:spacing w:after="0"/>
              <w:rPr>
                <w:sz w:val="20"/>
                <w:szCs w:val="20"/>
                <w:color w:val="auto"/>
              </w:rPr>
            </w:pPr>
            <w:r>
              <w:rPr>
                <w:rFonts w:ascii="Arial" w:cs="Arial" w:eastAsia="Arial" w:hAnsi="Arial"/>
                <w:sz w:val="13"/>
                <w:szCs w:val="13"/>
                <w:b w:val="1"/>
                <w:bCs w:val="1"/>
                <w:color w:val="FFFFFF"/>
              </w:rPr>
              <w:t>Year</w:t>
            </w:r>
          </w:p>
        </w:tc>
        <w:tc>
          <w:tcPr>
            <w:tcW w:w="560" w:type="dxa"/>
            <w:vAlign w:val="bottom"/>
            <w:shd w:val="clear" w:color="auto" w:fill="0063A6"/>
          </w:tcPr>
          <w:p>
            <w:pPr>
              <w:spacing w:after="0"/>
              <w:rPr>
                <w:sz w:val="23"/>
                <w:szCs w:val="23"/>
                <w:color w:val="auto"/>
              </w:rPr>
            </w:pPr>
          </w:p>
        </w:tc>
        <w:tc>
          <w:tcPr>
            <w:tcW w:w="380" w:type="dxa"/>
            <w:vAlign w:val="bottom"/>
            <w:shd w:val="clear" w:color="auto" w:fill="0063A6"/>
          </w:tcPr>
          <w:p>
            <w:pPr>
              <w:spacing w:after="0"/>
              <w:rPr>
                <w:sz w:val="23"/>
                <w:szCs w:val="23"/>
                <w:color w:val="auto"/>
              </w:rPr>
            </w:pPr>
          </w:p>
        </w:tc>
        <w:tc>
          <w:tcPr>
            <w:tcW w:w="1720" w:type="dxa"/>
            <w:vAlign w:val="bottom"/>
            <w:shd w:val="clear" w:color="auto" w:fill="0063A6"/>
          </w:tcPr>
          <w:p>
            <w:pPr>
              <w:jc w:val="center"/>
              <w:ind w:left="130"/>
              <w:spacing w:after="0"/>
              <w:rPr>
                <w:sz w:val="20"/>
                <w:szCs w:val="20"/>
                <w:color w:val="auto"/>
              </w:rPr>
            </w:pPr>
            <w:r>
              <w:rPr>
                <w:rFonts w:ascii="Arial" w:cs="Arial" w:eastAsia="Arial" w:hAnsi="Arial"/>
                <w:sz w:val="13"/>
                <w:szCs w:val="13"/>
                <w:b w:val="1"/>
                <w:bCs w:val="1"/>
                <w:color w:val="FFFFFF"/>
              </w:rPr>
              <w:t>Table Total for PEO ($)</w:t>
            </w:r>
          </w:p>
        </w:tc>
        <w:tc>
          <w:tcPr>
            <w:tcW w:w="240" w:type="dxa"/>
            <w:vAlign w:val="bottom"/>
            <w:shd w:val="clear" w:color="auto" w:fill="0063A6"/>
          </w:tcPr>
          <w:p>
            <w:pPr>
              <w:spacing w:after="0"/>
              <w:rPr>
                <w:sz w:val="23"/>
                <w:szCs w:val="23"/>
                <w:color w:val="auto"/>
              </w:rPr>
            </w:pPr>
          </w:p>
        </w:tc>
        <w:tc>
          <w:tcPr>
            <w:tcW w:w="360" w:type="dxa"/>
            <w:vAlign w:val="bottom"/>
            <w:shd w:val="clear" w:color="auto" w:fill="0063A6"/>
          </w:tcPr>
          <w:p>
            <w:pPr>
              <w:spacing w:after="0"/>
              <w:rPr>
                <w:sz w:val="23"/>
                <w:szCs w:val="23"/>
                <w:color w:val="auto"/>
              </w:rPr>
            </w:pPr>
          </w:p>
        </w:tc>
        <w:tc>
          <w:tcPr>
            <w:tcW w:w="1100" w:type="dxa"/>
            <w:vAlign w:val="bottom"/>
            <w:shd w:val="clear" w:color="auto" w:fill="0063A6"/>
          </w:tcPr>
          <w:p>
            <w:pPr>
              <w:jc w:val="center"/>
              <w:ind w:left="130"/>
              <w:spacing w:after="0"/>
              <w:rPr>
                <w:sz w:val="20"/>
                <w:szCs w:val="20"/>
                <w:color w:val="auto"/>
              </w:rPr>
            </w:pPr>
            <w:r>
              <w:rPr>
                <w:rFonts w:ascii="Arial" w:cs="Arial" w:eastAsia="Arial" w:hAnsi="Arial"/>
                <w:sz w:val="13"/>
                <w:szCs w:val="13"/>
                <w:b w:val="1"/>
                <w:bCs w:val="1"/>
                <w:color w:val="FFFFFF"/>
                <w:w w:val="97"/>
              </w:rPr>
              <w:t>Awards ($)</w:t>
            </w:r>
            <w:r>
              <w:rPr>
                <w:rFonts w:ascii="Arial" w:cs="Arial" w:eastAsia="Arial" w:hAnsi="Arial"/>
                <w:sz w:val="22"/>
                <w:szCs w:val="22"/>
                <w:b w:val="1"/>
                <w:bCs w:val="1"/>
                <w:color w:val="FFFFFF"/>
                <w:w w:val="97"/>
                <w:vertAlign w:val="superscript"/>
              </w:rPr>
              <w:t>(a)</w:t>
            </w:r>
          </w:p>
        </w:tc>
        <w:tc>
          <w:tcPr>
            <w:tcW w:w="240" w:type="dxa"/>
            <w:vAlign w:val="bottom"/>
            <w:shd w:val="clear" w:color="auto" w:fill="0063A6"/>
          </w:tcPr>
          <w:p>
            <w:pPr>
              <w:spacing w:after="0"/>
              <w:rPr>
                <w:sz w:val="23"/>
                <w:szCs w:val="23"/>
                <w:color w:val="auto"/>
              </w:rPr>
            </w:pPr>
          </w:p>
        </w:tc>
        <w:tc>
          <w:tcPr>
            <w:tcW w:w="380" w:type="dxa"/>
            <w:vAlign w:val="bottom"/>
            <w:shd w:val="clear" w:color="auto" w:fill="0063A6"/>
          </w:tcPr>
          <w:p>
            <w:pPr>
              <w:spacing w:after="0"/>
              <w:rPr>
                <w:sz w:val="23"/>
                <w:szCs w:val="23"/>
                <w:color w:val="auto"/>
              </w:rPr>
            </w:pPr>
          </w:p>
        </w:tc>
        <w:tc>
          <w:tcPr>
            <w:tcW w:w="1180" w:type="dxa"/>
            <w:vAlign w:val="bottom"/>
            <w:shd w:val="clear" w:color="auto" w:fill="0063A6"/>
          </w:tcPr>
          <w:p>
            <w:pPr>
              <w:jc w:val="right"/>
              <w:ind w:right="332"/>
              <w:spacing w:after="0"/>
              <w:rPr>
                <w:sz w:val="20"/>
                <w:szCs w:val="20"/>
                <w:color w:val="auto"/>
              </w:rPr>
            </w:pPr>
            <w:r>
              <w:rPr>
                <w:rFonts w:ascii="Arial" w:cs="Arial" w:eastAsia="Arial" w:hAnsi="Arial"/>
                <w:sz w:val="11"/>
                <w:szCs w:val="11"/>
                <w:b w:val="1"/>
                <w:bCs w:val="1"/>
                <w:color w:val="FFFFFF"/>
              </w:rPr>
              <w:t>(b)</w:t>
            </w:r>
          </w:p>
        </w:tc>
        <w:tc>
          <w:tcPr>
            <w:tcW w:w="280" w:type="dxa"/>
            <w:vAlign w:val="bottom"/>
            <w:shd w:val="clear" w:color="auto" w:fill="0063A6"/>
          </w:tcPr>
          <w:p>
            <w:pPr>
              <w:spacing w:after="0"/>
              <w:rPr>
                <w:sz w:val="23"/>
                <w:szCs w:val="23"/>
                <w:color w:val="auto"/>
              </w:rPr>
            </w:pPr>
          </w:p>
        </w:tc>
        <w:tc>
          <w:tcPr>
            <w:tcW w:w="480" w:type="dxa"/>
            <w:vAlign w:val="bottom"/>
            <w:shd w:val="clear" w:color="auto" w:fill="0063A6"/>
          </w:tcPr>
          <w:p>
            <w:pPr>
              <w:spacing w:after="0"/>
              <w:rPr>
                <w:sz w:val="23"/>
                <w:szCs w:val="23"/>
                <w:color w:val="auto"/>
              </w:rPr>
            </w:pPr>
          </w:p>
        </w:tc>
        <w:tc>
          <w:tcPr>
            <w:tcW w:w="1380" w:type="dxa"/>
            <w:vAlign w:val="bottom"/>
            <w:shd w:val="clear" w:color="auto" w:fill="0063A6"/>
          </w:tcPr>
          <w:p>
            <w:pPr>
              <w:jc w:val="center"/>
              <w:ind w:left="90"/>
              <w:spacing w:after="0"/>
              <w:rPr>
                <w:sz w:val="20"/>
                <w:szCs w:val="20"/>
                <w:color w:val="auto"/>
              </w:rPr>
            </w:pPr>
            <w:r>
              <w:rPr>
                <w:rFonts w:ascii="Arial" w:cs="Arial" w:eastAsia="Arial" w:hAnsi="Arial"/>
                <w:sz w:val="13"/>
                <w:szCs w:val="13"/>
                <w:b w:val="1"/>
                <w:bCs w:val="1"/>
                <w:color w:val="FFFFFF"/>
              </w:rPr>
              <w:t>Paid to PEO ($)</w:t>
            </w:r>
          </w:p>
        </w:tc>
        <w:tc>
          <w:tcPr>
            <w:tcW w:w="240" w:type="dxa"/>
            <w:vAlign w:val="bottom"/>
            <w:shd w:val="clear" w:color="auto" w:fill="0063A6"/>
          </w:tcPr>
          <w:p>
            <w:pPr>
              <w:spacing w:after="0"/>
              <w:rPr>
                <w:sz w:val="23"/>
                <w:szCs w:val="23"/>
                <w:color w:val="auto"/>
              </w:rPr>
            </w:pPr>
          </w:p>
        </w:tc>
      </w:tr>
      <w:tr>
        <w:trPr>
          <w:trHeight w:val="272"/>
        </w:trPr>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2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2022</w:t>
            </w:r>
          </w:p>
        </w:tc>
        <w:tc>
          <w:tcPr>
            <w:tcW w:w="560" w:type="dxa"/>
            <w:vAlign w:val="bottom"/>
            <w:shd w:val="clear" w:color="auto" w:fill="F2F2F2"/>
          </w:tcPr>
          <w:p>
            <w:pPr>
              <w:ind w:left="38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130"/>
              <w:spacing w:after="0"/>
              <w:rPr>
                <w:sz w:val="20"/>
                <w:szCs w:val="20"/>
                <w:color w:val="auto"/>
              </w:rPr>
            </w:pPr>
            <w:r>
              <w:rPr>
                <w:rFonts w:ascii="Arial" w:cs="Arial" w:eastAsia="Arial" w:hAnsi="Arial"/>
                <w:sz w:val="14"/>
                <w:szCs w:val="14"/>
                <w:color w:val="auto"/>
              </w:rPr>
              <w:t>1,146,000</w:t>
            </w:r>
          </w:p>
        </w:tc>
        <w:tc>
          <w:tcPr>
            <w:tcW w:w="2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6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jc w:val="center"/>
              <w:ind w:left="150"/>
              <w:spacing w:after="0"/>
              <w:rPr>
                <w:sz w:val="20"/>
                <w:szCs w:val="20"/>
                <w:color w:val="auto"/>
              </w:rPr>
            </w:pPr>
            <w:r>
              <w:rPr>
                <w:rFonts w:ascii="Arial" w:cs="Arial" w:eastAsia="Arial" w:hAnsi="Arial"/>
                <w:sz w:val="14"/>
                <w:szCs w:val="14"/>
                <w:color w:val="auto"/>
              </w:rPr>
              <w:t>0</w:t>
            </w:r>
          </w:p>
        </w:tc>
        <w:tc>
          <w:tcPr>
            <w:tcW w:w="240" w:type="dxa"/>
            <w:vAlign w:val="bottom"/>
            <w:shd w:val="clear" w:color="auto" w:fill="F2F2F2"/>
          </w:tcPr>
          <w:p>
            <w:pPr>
              <w:jc w:val="right"/>
              <w:ind w:right="182"/>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jc w:val="right"/>
              <w:ind w:right="12"/>
              <w:spacing w:after="0"/>
              <w:rPr>
                <w:sz w:val="20"/>
                <w:szCs w:val="20"/>
                <w:color w:val="auto"/>
              </w:rPr>
            </w:pPr>
            <w:r>
              <w:rPr>
                <w:rFonts w:ascii="Arial" w:cs="Arial" w:eastAsia="Arial" w:hAnsi="Arial"/>
                <w:sz w:val="14"/>
                <w:szCs w:val="14"/>
                <w:color w:val="auto"/>
              </w:rPr>
              <w:t>-23,929,000</w:t>
            </w:r>
          </w:p>
        </w:tc>
        <w:tc>
          <w:tcPr>
            <w:tcW w:w="280" w:type="dxa"/>
            <w:vAlign w:val="bottom"/>
            <w:shd w:val="clear" w:color="auto" w:fill="F2F2F2"/>
          </w:tcPr>
          <w:p>
            <w:pPr>
              <w:jc w:val="right"/>
              <w:ind w:right="162"/>
              <w:spacing w:after="0"/>
              <w:rPr>
                <w:sz w:val="20"/>
                <w:szCs w:val="20"/>
                <w:color w:val="auto"/>
              </w:rPr>
            </w:pPr>
            <w:r>
              <w:rPr>
                <w:rFonts w:ascii="Arial" w:cs="Arial" w:eastAsia="Arial" w:hAnsi="Arial"/>
                <w:sz w:val="4"/>
                <w:szCs w:val="4"/>
                <w:color w:val="auto"/>
              </w:rPr>
              <w:t>​</w:t>
            </w:r>
          </w:p>
        </w:tc>
        <w:tc>
          <w:tcPr>
            <w:tcW w:w="4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380" w:type="dxa"/>
            <w:vAlign w:val="bottom"/>
            <w:shd w:val="clear" w:color="auto" w:fill="F2F2F2"/>
          </w:tcPr>
          <w:p>
            <w:pPr>
              <w:jc w:val="right"/>
              <w:ind w:right="150"/>
              <w:spacing w:after="0"/>
              <w:rPr>
                <w:sz w:val="20"/>
                <w:szCs w:val="20"/>
                <w:color w:val="auto"/>
              </w:rPr>
            </w:pPr>
            <w:r>
              <w:rPr>
                <w:rFonts w:ascii="Arial" w:cs="Arial" w:eastAsia="Arial" w:hAnsi="Arial"/>
                <w:sz w:val="14"/>
                <w:szCs w:val="14"/>
                <w:color w:val="auto"/>
              </w:rPr>
              <w:t>-22,783,000</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r>
      <w:tr>
        <w:trPr>
          <w:trHeight w:val="79"/>
        </w:trPr>
        <w:tc>
          <w:tcPr>
            <w:tcW w:w="60" w:type="dxa"/>
            <w:vAlign w:val="bottom"/>
            <w:shd w:val="clear" w:color="auto" w:fill="F2F2F2"/>
          </w:tcPr>
          <w:p>
            <w:pPr>
              <w:spacing w:after="0"/>
              <w:rPr>
                <w:sz w:val="6"/>
                <w:szCs w:val="6"/>
                <w:color w:val="auto"/>
              </w:rPr>
            </w:pPr>
          </w:p>
        </w:tc>
        <w:tc>
          <w:tcPr>
            <w:tcW w:w="720" w:type="dxa"/>
            <w:vAlign w:val="bottom"/>
            <w:shd w:val="clear" w:color="auto" w:fill="F2F2F2"/>
          </w:tcPr>
          <w:p>
            <w:pPr>
              <w:spacing w:after="0"/>
              <w:rPr>
                <w:sz w:val="6"/>
                <w:szCs w:val="6"/>
                <w:color w:val="auto"/>
              </w:rPr>
            </w:pPr>
          </w:p>
        </w:tc>
        <w:tc>
          <w:tcPr>
            <w:tcW w:w="560" w:type="dxa"/>
            <w:vAlign w:val="bottom"/>
            <w:shd w:val="clear" w:color="auto" w:fill="F2F2F2"/>
          </w:tcPr>
          <w:p>
            <w:pPr>
              <w:spacing w:after="0"/>
              <w:rPr>
                <w:sz w:val="6"/>
                <w:szCs w:val="6"/>
                <w:color w:val="auto"/>
              </w:rPr>
            </w:pPr>
          </w:p>
        </w:tc>
        <w:tc>
          <w:tcPr>
            <w:tcW w:w="380" w:type="dxa"/>
            <w:vAlign w:val="bottom"/>
            <w:shd w:val="clear" w:color="auto" w:fill="F2F2F2"/>
          </w:tcPr>
          <w:p>
            <w:pPr>
              <w:spacing w:after="0"/>
              <w:rPr>
                <w:sz w:val="6"/>
                <w:szCs w:val="6"/>
                <w:color w:val="auto"/>
              </w:rPr>
            </w:pPr>
          </w:p>
        </w:tc>
        <w:tc>
          <w:tcPr>
            <w:tcW w:w="1720" w:type="dxa"/>
            <w:vAlign w:val="bottom"/>
            <w:shd w:val="clear" w:color="auto" w:fill="F2F2F2"/>
          </w:tcPr>
          <w:p>
            <w:pPr>
              <w:spacing w:after="0"/>
              <w:rPr>
                <w:sz w:val="6"/>
                <w:szCs w:val="6"/>
                <w:color w:val="auto"/>
              </w:rPr>
            </w:pPr>
          </w:p>
        </w:tc>
        <w:tc>
          <w:tcPr>
            <w:tcW w:w="240" w:type="dxa"/>
            <w:vAlign w:val="bottom"/>
            <w:shd w:val="clear" w:color="auto" w:fill="F2F2F2"/>
          </w:tcPr>
          <w:p>
            <w:pPr>
              <w:spacing w:after="0"/>
              <w:rPr>
                <w:sz w:val="6"/>
                <w:szCs w:val="6"/>
                <w:color w:val="auto"/>
              </w:rPr>
            </w:pPr>
          </w:p>
        </w:tc>
        <w:tc>
          <w:tcPr>
            <w:tcW w:w="36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c>
          <w:tcPr>
            <w:tcW w:w="240" w:type="dxa"/>
            <w:vAlign w:val="bottom"/>
            <w:shd w:val="clear" w:color="auto" w:fill="F2F2F2"/>
          </w:tcPr>
          <w:p>
            <w:pPr>
              <w:spacing w:after="0"/>
              <w:rPr>
                <w:sz w:val="6"/>
                <w:szCs w:val="6"/>
                <w:color w:val="auto"/>
              </w:rPr>
            </w:pPr>
          </w:p>
        </w:tc>
        <w:tc>
          <w:tcPr>
            <w:tcW w:w="38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480" w:type="dxa"/>
            <w:vAlign w:val="bottom"/>
            <w:shd w:val="clear" w:color="auto" w:fill="F2F2F2"/>
          </w:tcPr>
          <w:p>
            <w:pPr>
              <w:spacing w:after="0"/>
              <w:rPr>
                <w:sz w:val="6"/>
                <w:szCs w:val="6"/>
                <w:color w:val="auto"/>
              </w:rPr>
            </w:pPr>
          </w:p>
        </w:tc>
        <w:tc>
          <w:tcPr>
            <w:tcW w:w="1380" w:type="dxa"/>
            <w:vAlign w:val="bottom"/>
            <w:shd w:val="clear" w:color="auto" w:fill="F2F2F2"/>
          </w:tcPr>
          <w:p>
            <w:pPr>
              <w:spacing w:after="0"/>
              <w:rPr>
                <w:sz w:val="6"/>
                <w:szCs w:val="6"/>
                <w:color w:val="auto"/>
              </w:rPr>
            </w:pPr>
          </w:p>
        </w:tc>
        <w:tc>
          <w:tcPr>
            <w:tcW w:w="240" w:type="dxa"/>
            <w:vAlign w:val="bottom"/>
            <w:shd w:val="clear" w:color="auto" w:fill="F2F2F2"/>
          </w:tcPr>
          <w:p>
            <w:pPr>
              <w:spacing w:after="0"/>
              <w:rPr>
                <w:sz w:val="6"/>
                <w:szCs w:val="6"/>
                <w:color w:val="auto"/>
              </w:rPr>
            </w:pPr>
          </w:p>
        </w:tc>
      </w:tr>
      <w:tr>
        <w:trPr>
          <w:trHeight w:val="272"/>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720" w:type="dxa"/>
            <w:vAlign w:val="bottom"/>
          </w:tcPr>
          <w:p>
            <w:pPr>
              <w:ind w:left="40"/>
              <w:spacing w:after="0"/>
              <w:rPr>
                <w:sz w:val="20"/>
                <w:szCs w:val="20"/>
                <w:color w:val="auto"/>
              </w:rPr>
            </w:pPr>
            <w:r>
              <w:rPr>
                <w:rFonts w:ascii="Arial" w:cs="Arial" w:eastAsia="Arial" w:hAnsi="Arial"/>
                <w:sz w:val="14"/>
                <w:szCs w:val="14"/>
                <w:color w:val="auto"/>
              </w:rPr>
              <w:t>2021</w:t>
            </w:r>
          </w:p>
        </w:tc>
        <w:tc>
          <w:tcPr>
            <w:tcW w:w="560" w:type="dxa"/>
            <w:vAlign w:val="bottom"/>
          </w:tcPr>
          <w:p>
            <w:pPr>
              <w:ind w:left="380"/>
              <w:spacing w:after="0"/>
              <w:rPr>
                <w:sz w:val="20"/>
                <w:szCs w:val="20"/>
                <w:color w:val="auto"/>
              </w:rPr>
            </w:pPr>
            <w:r>
              <w:rPr>
                <w:rFonts w:ascii="Arial" w:cs="Arial" w:eastAsia="Arial" w:hAnsi="Arial"/>
                <w:sz w:val="4"/>
                <w:szCs w:val="4"/>
                <w:color w:val="auto"/>
              </w:rPr>
              <w:t>​</w:t>
            </w:r>
          </w:p>
        </w:tc>
        <w:tc>
          <w:tcPr>
            <w:tcW w:w="380" w:type="dxa"/>
            <w:vAlign w:val="bottom"/>
          </w:tcPr>
          <w:p>
            <w:pPr>
              <w:ind w:left="200"/>
              <w:spacing w:after="0"/>
              <w:rPr>
                <w:sz w:val="20"/>
                <w:szCs w:val="20"/>
                <w:color w:val="auto"/>
              </w:rPr>
            </w:pPr>
            <w:r>
              <w:rPr>
                <w:rFonts w:ascii="Arial" w:cs="Arial" w:eastAsia="Arial" w:hAnsi="Arial"/>
                <w:sz w:val="4"/>
                <w:szCs w:val="4"/>
                <w:color w:val="auto"/>
              </w:rPr>
              <w:t>​</w:t>
            </w:r>
          </w:p>
        </w:tc>
        <w:tc>
          <w:tcPr>
            <w:tcW w:w="1720" w:type="dxa"/>
            <w:vAlign w:val="bottom"/>
          </w:tcPr>
          <w:p>
            <w:pPr>
              <w:jc w:val="center"/>
              <w:ind w:left="130"/>
              <w:spacing w:after="0"/>
              <w:rPr>
                <w:sz w:val="20"/>
                <w:szCs w:val="20"/>
                <w:color w:val="auto"/>
              </w:rPr>
            </w:pPr>
            <w:r>
              <w:rPr>
                <w:rFonts w:ascii="Arial" w:cs="Arial" w:eastAsia="Arial" w:hAnsi="Arial"/>
                <w:sz w:val="14"/>
                <w:szCs w:val="14"/>
                <w:color w:val="auto"/>
              </w:rPr>
              <w:t>1,515,269</w:t>
            </w:r>
          </w:p>
        </w:tc>
        <w:tc>
          <w:tcPr>
            <w:tcW w:w="240" w:type="dxa"/>
            <w:vAlign w:val="bottom"/>
          </w:tcPr>
          <w:p>
            <w:pPr>
              <w:ind w:left="40"/>
              <w:spacing w:after="0"/>
              <w:rPr>
                <w:sz w:val="20"/>
                <w:szCs w:val="20"/>
                <w:color w:val="auto"/>
              </w:rPr>
            </w:pPr>
            <w:r>
              <w:rPr>
                <w:rFonts w:ascii="Arial" w:cs="Arial" w:eastAsia="Arial" w:hAnsi="Arial"/>
                <w:sz w:val="4"/>
                <w:szCs w:val="4"/>
                <w:color w:val="auto"/>
              </w:rPr>
              <w:t>​</w:t>
            </w:r>
          </w:p>
        </w:tc>
        <w:tc>
          <w:tcPr>
            <w:tcW w:w="360" w:type="dxa"/>
            <w:vAlign w:val="bottom"/>
          </w:tcPr>
          <w:p>
            <w:pPr>
              <w:ind w:left="180"/>
              <w:spacing w:after="0"/>
              <w:rPr>
                <w:sz w:val="20"/>
                <w:szCs w:val="20"/>
                <w:color w:val="auto"/>
              </w:rPr>
            </w:pPr>
            <w:r>
              <w:rPr>
                <w:rFonts w:ascii="Arial" w:cs="Arial" w:eastAsia="Arial" w:hAnsi="Arial"/>
                <w:sz w:val="4"/>
                <w:szCs w:val="4"/>
                <w:color w:val="auto"/>
              </w:rPr>
              <w:t>​</w:t>
            </w:r>
          </w:p>
        </w:tc>
        <w:tc>
          <w:tcPr>
            <w:tcW w:w="1100" w:type="dxa"/>
            <w:vAlign w:val="bottom"/>
          </w:tcPr>
          <w:p>
            <w:pPr>
              <w:jc w:val="center"/>
              <w:ind w:left="150"/>
              <w:spacing w:after="0"/>
              <w:rPr>
                <w:sz w:val="20"/>
                <w:szCs w:val="20"/>
                <w:color w:val="auto"/>
              </w:rPr>
            </w:pPr>
            <w:r>
              <w:rPr>
                <w:rFonts w:ascii="Arial" w:cs="Arial" w:eastAsia="Arial" w:hAnsi="Arial"/>
                <w:sz w:val="14"/>
                <w:szCs w:val="14"/>
                <w:color w:val="auto"/>
              </w:rPr>
              <w:t>0</w:t>
            </w:r>
          </w:p>
        </w:tc>
        <w:tc>
          <w:tcPr>
            <w:tcW w:w="240" w:type="dxa"/>
            <w:vAlign w:val="bottom"/>
          </w:tcPr>
          <w:p>
            <w:pPr>
              <w:jc w:val="right"/>
              <w:ind w:right="182"/>
              <w:spacing w:after="0"/>
              <w:rPr>
                <w:sz w:val="20"/>
                <w:szCs w:val="20"/>
                <w:color w:val="auto"/>
              </w:rPr>
            </w:pPr>
            <w:r>
              <w:rPr>
                <w:rFonts w:ascii="Arial" w:cs="Arial" w:eastAsia="Arial" w:hAnsi="Arial"/>
                <w:sz w:val="4"/>
                <w:szCs w:val="4"/>
                <w:color w:val="auto"/>
              </w:rPr>
              <w:t>​</w:t>
            </w:r>
          </w:p>
        </w:tc>
        <w:tc>
          <w:tcPr>
            <w:tcW w:w="380" w:type="dxa"/>
            <w:vAlign w:val="bottom"/>
          </w:tcPr>
          <w:p>
            <w:pPr>
              <w:ind w:left="180"/>
              <w:spacing w:after="0"/>
              <w:rPr>
                <w:sz w:val="20"/>
                <w:szCs w:val="20"/>
                <w:color w:val="auto"/>
              </w:rPr>
            </w:pPr>
            <w:r>
              <w:rPr>
                <w:rFonts w:ascii="Arial" w:cs="Arial" w:eastAsia="Arial" w:hAnsi="Arial"/>
                <w:sz w:val="4"/>
                <w:szCs w:val="4"/>
                <w:color w:val="auto"/>
              </w:rPr>
              <w:t>​</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23,648,342</w:t>
            </w:r>
          </w:p>
        </w:tc>
        <w:tc>
          <w:tcPr>
            <w:tcW w:w="280" w:type="dxa"/>
            <w:vAlign w:val="bottom"/>
          </w:tcPr>
          <w:p>
            <w:pPr>
              <w:jc w:val="right"/>
              <w:ind w:right="162"/>
              <w:spacing w:after="0"/>
              <w:rPr>
                <w:sz w:val="20"/>
                <w:szCs w:val="20"/>
                <w:color w:val="auto"/>
              </w:rPr>
            </w:pPr>
            <w:r>
              <w:rPr>
                <w:rFonts w:ascii="Arial" w:cs="Arial" w:eastAsia="Arial" w:hAnsi="Arial"/>
                <w:sz w:val="4"/>
                <w:szCs w:val="4"/>
                <w:color w:val="auto"/>
              </w:rPr>
              <w:t>​</w:t>
            </w:r>
          </w:p>
        </w:tc>
        <w:tc>
          <w:tcPr>
            <w:tcW w:w="480" w:type="dxa"/>
            <w:vAlign w:val="bottom"/>
          </w:tcPr>
          <w:p>
            <w:pPr>
              <w:ind w:left="180"/>
              <w:spacing w:after="0"/>
              <w:rPr>
                <w:sz w:val="20"/>
                <w:szCs w:val="20"/>
                <w:color w:val="auto"/>
              </w:rPr>
            </w:pPr>
            <w:r>
              <w:rPr>
                <w:rFonts w:ascii="Arial" w:cs="Arial" w:eastAsia="Arial" w:hAnsi="Arial"/>
                <w:sz w:val="4"/>
                <w:szCs w:val="4"/>
                <w:color w:val="auto"/>
              </w:rPr>
              <w:t>​</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25,163,611</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r>
      <w:tr>
        <w:trPr>
          <w:trHeight w:val="80"/>
        </w:trPr>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71"/>
        </w:trPr>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72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2020</w:t>
            </w:r>
          </w:p>
        </w:tc>
        <w:tc>
          <w:tcPr>
            <w:tcW w:w="560" w:type="dxa"/>
            <w:vAlign w:val="bottom"/>
            <w:shd w:val="clear" w:color="auto" w:fill="F2F2F2"/>
          </w:tcPr>
          <w:p>
            <w:pPr>
              <w:ind w:left="38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1720" w:type="dxa"/>
            <w:vAlign w:val="bottom"/>
            <w:shd w:val="clear" w:color="auto" w:fill="F2F2F2"/>
          </w:tcPr>
          <w:p>
            <w:pPr>
              <w:jc w:val="center"/>
              <w:ind w:left="130"/>
              <w:spacing w:after="0"/>
              <w:rPr>
                <w:sz w:val="20"/>
                <w:szCs w:val="20"/>
                <w:color w:val="auto"/>
              </w:rPr>
            </w:pPr>
            <w:r>
              <w:rPr>
                <w:rFonts w:ascii="Arial" w:cs="Arial" w:eastAsia="Arial" w:hAnsi="Arial"/>
                <w:sz w:val="14"/>
                <w:szCs w:val="14"/>
                <w:color w:val="auto"/>
              </w:rPr>
              <w:t>1,268,889</w:t>
            </w:r>
          </w:p>
        </w:tc>
        <w:tc>
          <w:tcPr>
            <w:tcW w:w="2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36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jc w:val="center"/>
              <w:ind w:left="150"/>
              <w:spacing w:after="0"/>
              <w:rPr>
                <w:sz w:val="20"/>
                <w:szCs w:val="20"/>
                <w:color w:val="auto"/>
              </w:rPr>
            </w:pPr>
            <w:r>
              <w:rPr>
                <w:rFonts w:ascii="Arial" w:cs="Arial" w:eastAsia="Arial" w:hAnsi="Arial"/>
                <w:sz w:val="14"/>
                <w:szCs w:val="14"/>
                <w:color w:val="auto"/>
              </w:rPr>
              <w:t>0</w:t>
            </w:r>
          </w:p>
        </w:tc>
        <w:tc>
          <w:tcPr>
            <w:tcW w:w="240" w:type="dxa"/>
            <w:vAlign w:val="bottom"/>
            <w:shd w:val="clear" w:color="auto" w:fill="F2F2F2"/>
          </w:tcPr>
          <w:p>
            <w:pPr>
              <w:jc w:val="right"/>
              <w:ind w:right="182"/>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jc w:val="right"/>
              <w:ind w:right="32"/>
              <w:spacing w:after="0"/>
              <w:rPr>
                <w:sz w:val="20"/>
                <w:szCs w:val="20"/>
                <w:color w:val="auto"/>
              </w:rPr>
            </w:pPr>
            <w:r>
              <w:rPr>
                <w:rFonts w:ascii="Arial" w:cs="Arial" w:eastAsia="Arial" w:hAnsi="Arial"/>
                <w:sz w:val="14"/>
                <w:szCs w:val="14"/>
                <w:color w:val="auto"/>
              </w:rPr>
              <w:t>37,855,000</w:t>
            </w:r>
          </w:p>
        </w:tc>
        <w:tc>
          <w:tcPr>
            <w:tcW w:w="280" w:type="dxa"/>
            <w:vAlign w:val="bottom"/>
            <w:shd w:val="clear" w:color="auto" w:fill="F2F2F2"/>
          </w:tcPr>
          <w:p>
            <w:pPr>
              <w:jc w:val="right"/>
              <w:ind w:right="162"/>
              <w:spacing w:after="0"/>
              <w:rPr>
                <w:sz w:val="20"/>
                <w:szCs w:val="20"/>
                <w:color w:val="auto"/>
              </w:rPr>
            </w:pPr>
            <w:r>
              <w:rPr>
                <w:rFonts w:ascii="Arial" w:cs="Arial" w:eastAsia="Arial" w:hAnsi="Arial"/>
                <w:sz w:val="4"/>
                <w:szCs w:val="4"/>
                <w:color w:val="auto"/>
              </w:rPr>
              <w:t>​</w:t>
            </w:r>
          </w:p>
        </w:tc>
        <w:tc>
          <w:tcPr>
            <w:tcW w:w="4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380" w:type="dxa"/>
            <w:vAlign w:val="bottom"/>
            <w:shd w:val="clear" w:color="auto" w:fill="F2F2F2"/>
          </w:tcPr>
          <w:p>
            <w:pPr>
              <w:jc w:val="right"/>
              <w:ind w:right="150"/>
              <w:spacing w:after="0"/>
              <w:rPr>
                <w:sz w:val="20"/>
                <w:szCs w:val="20"/>
                <w:color w:val="auto"/>
              </w:rPr>
            </w:pPr>
            <w:r>
              <w:rPr>
                <w:rFonts w:ascii="Arial" w:cs="Arial" w:eastAsia="Arial" w:hAnsi="Arial"/>
                <w:sz w:val="14"/>
                <w:szCs w:val="14"/>
                <w:color w:val="auto"/>
              </w:rPr>
              <w:t>39,123,889</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r>
      <w:tr>
        <w:trPr>
          <w:trHeight w:val="53"/>
        </w:trPr>
        <w:tc>
          <w:tcPr>
            <w:tcW w:w="60" w:type="dxa"/>
            <w:vAlign w:val="bottom"/>
            <w:shd w:val="clear" w:color="auto" w:fill="F2F2F2"/>
          </w:tcPr>
          <w:p>
            <w:pPr>
              <w:spacing w:after="0"/>
              <w:rPr>
                <w:sz w:val="4"/>
                <w:szCs w:val="4"/>
                <w:color w:val="auto"/>
              </w:rPr>
            </w:pPr>
          </w:p>
        </w:tc>
        <w:tc>
          <w:tcPr>
            <w:tcW w:w="720" w:type="dxa"/>
            <w:vAlign w:val="bottom"/>
            <w:shd w:val="clear" w:color="auto" w:fill="F2F2F2"/>
          </w:tcPr>
          <w:p>
            <w:pPr>
              <w:spacing w:after="0"/>
              <w:rPr>
                <w:sz w:val="4"/>
                <w:szCs w:val="4"/>
                <w:color w:val="auto"/>
              </w:rPr>
            </w:pPr>
          </w:p>
        </w:tc>
        <w:tc>
          <w:tcPr>
            <w:tcW w:w="56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72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360" w:type="dxa"/>
            <w:vAlign w:val="bottom"/>
            <w:shd w:val="clear" w:color="auto" w:fill="F2F2F2"/>
          </w:tcPr>
          <w:p>
            <w:pPr>
              <w:spacing w:after="0"/>
              <w:rPr>
                <w:sz w:val="4"/>
                <w:szCs w:val="4"/>
                <w:color w:val="auto"/>
              </w:rPr>
            </w:pPr>
          </w:p>
        </w:tc>
        <w:tc>
          <w:tcPr>
            <w:tcW w:w="110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180" w:type="dxa"/>
            <w:vAlign w:val="bottom"/>
            <w:shd w:val="clear" w:color="auto" w:fill="F2F2F2"/>
          </w:tcPr>
          <w:p>
            <w:pPr>
              <w:spacing w:after="0"/>
              <w:rPr>
                <w:sz w:val="4"/>
                <w:szCs w:val="4"/>
                <w:color w:val="auto"/>
              </w:rPr>
            </w:pPr>
          </w:p>
        </w:tc>
        <w:tc>
          <w:tcPr>
            <w:tcW w:w="280" w:type="dxa"/>
            <w:vAlign w:val="bottom"/>
            <w:shd w:val="clear" w:color="auto" w:fill="F2F2F2"/>
          </w:tcPr>
          <w:p>
            <w:pPr>
              <w:spacing w:after="0"/>
              <w:rPr>
                <w:sz w:val="4"/>
                <w:szCs w:val="4"/>
                <w:color w:val="auto"/>
              </w:rPr>
            </w:pPr>
          </w:p>
        </w:tc>
        <w:tc>
          <w:tcPr>
            <w:tcW w:w="480" w:type="dxa"/>
            <w:vAlign w:val="bottom"/>
            <w:shd w:val="clear" w:color="auto" w:fill="F2F2F2"/>
          </w:tcPr>
          <w:p>
            <w:pPr>
              <w:spacing w:after="0"/>
              <w:rPr>
                <w:sz w:val="4"/>
                <w:szCs w:val="4"/>
                <w:color w:val="auto"/>
              </w:rPr>
            </w:pPr>
          </w:p>
        </w:tc>
        <w:tc>
          <w:tcPr>
            <w:tcW w:w="138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r>
    </w:tbl>
    <w:p>
      <w:pPr>
        <w:spacing w:after="0" w:line="85" w:lineRule="exact"/>
        <w:rPr>
          <w:sz w:val="20"/>
          <w:szCs w:val="20"/>
          <w:color w:val="auto"/>
        </w:rPr>
      </w:pPr>
    </w:p>
    <w:p>
      <w:pPr>
        <w:ind w:left="604" w:right="500" w:hanging="244"/>
        <w:spacing w:after="0" w:line="201" w:lineRule="auto"/>
        <w:tabs>
          <w:tab w:leader="none" w:pos="604"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The grant date fair value of equity awards represents the total of the amounts reported in the “Stock Awards” column in the “</w:t>
      </w:r>
      <w:r>
        <w:rPr>
          <w:rFonts w:ascii="Arial" w:cs="Arial" w:eastAsia="Arial" w:hAnsi="Arial"/>
          <w:sz w:val="14"/>
          <w:szCs w:val="14"/>
          <w:i w:val="1"/>
          <w:iCs w:val="1"/>
          <w:color w:val="auto"/>
        </w:rPr>
        <w:t>Summary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Table</w:t>
      </w:r>
      <w:r>
        <w:rPr>
          <w:rFonts w:ascii="Arial" w:cs="Arial" w:eastAsia="Arial" w:hAnsi="Arial"/>
          <w:sz w:val="14"/>
          <w:szCs w:val="14"/>
          <w:color w:val="auto"/>
        </w:rPr>
        <w:t>” for the applicable year.</w:t>
      </w:r>
    </w:p>
    <w:p>
      <w:pPr>
        <w:spacing w:after="0" w:line="18" w:lineRule="exact"/>
        <w:rPr>
          <w:rFonts w:ascii="Arial" w:cs="Arial" w:eastAsia="Arial" w:hAnsi="Arial"/>
          <w:sz w:val="22"/>
          <w:szCs w:val="22"/>
          <w:color w:val="auto"/>
          <w:vertAlign w:val="superscript"/>
        </w:rPr>
      </w:pPr>
    </w:p>
    <w:p>
      <w:pPr>
        <w:ind w:left="604" w:right="80" w:hanging="244"/>
        <w:spacing w:after="0"/>
        <w:tabs>
          <w:tab w:leader="none" w:pos="604"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 year, which are valued as of the applicable vesting date.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92075</wp:posOffset>
            </wp:positionV>
            <wp:extent cx="5692140" cy="1825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92140" cy="1825625"/>
                    </a:xfrm>
                    <a:prstGeom prst="rect">
                      <a:avLst/>
                    </a:prstGeom>
                    <a:noFill/>
                  </pic:spPr>
                </pic:pic>
              </a:graphicData>
            </a:graphic>
          </wp:anchor>
        </w:drawing>
      </w:r>
    </w:p>
    <w:p>
      <w:pPr>
        <w:spacing w:after="0" w:line="125" w:lineRule="exact"/>
        <w:rPr>
          <w:sz w:val="20"/>
          <w:szCs w:val="20"/>
          <w:color w:val="auto"/>
        </w:rPr>
      </w:pPr>
    </w:p>
    <w:tbl>
      <w:tblPr>
        <w:tblLayout w:type="fixed"/>
        <w:tblInd w:w="604"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FFFFFF"/>
              </w:rPr>
              <w:t>Fair Value at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the End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Value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Year over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the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Dividends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Year Change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Prior Year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or other Earnings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rPr>
              <w:t>Year over Year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Fair Value as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in Fair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0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80" w:type="dxa"/>
            <w:vAlign w:val="bottom"/>
            <w:gridSpan w:val="2"/>
          </w:tcPr>
          <w:p>
            <w:pPr>
              <w:jc w:val="center"/>
              <w:ind w:right="2"/>
              <w:spacing w:after="0"/>
              <w:rPr>
                <w:sz w:val="20"/>
                <w:szCs w:val="20"/>
                <w:color w:val="auto"/>
              </w:rPr>
            </w:pPr>
            <w:r>
              <w:rPr>
                <w:rFonts w:ascii="Arial" w:cs="Arial" w:eastAsia="Arial" w:hAnsi="Arial"/>
                <w:sz w:val="13"/>
                <w:szCs w:val="13"/>
                <w:b w:val="1"/>
                <w:bCs w:val="1"/>
                <w:color w:val="FFFFFF"/>
              </w:rPr>
              <w:t>Change in Fair</w:t>
            </w:r>
            <w:r>
              <w:rPr>
                <w:rFonts w:ascii="Arial" w:cs="Arial" w:eastAsia="Arial" w:hAnsi="Arial"/>
                <w:sz w:val="3"/>
                <w:szCs w:val="3"/>
                <w:color w:val="000000"/>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of Vesting</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of Equity</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Awards that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Option Awards</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w w:val="98"/>
              </w:rPr>
              <w:t>Value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Date of 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Awards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Failed to</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not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6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Year End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rPr>
              <w:t>Outstanding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Awards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Granted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Meet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Otherwise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Equity</w:t>
            </w:r>
          </w:p>
        </w:tc>
        <w:tc>
          <w:tcPr>
            <w:tcW w:w="16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Fair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rPr>
              <w:t>and Unvested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Granted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Prior Years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Vesting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Award</w:t>
            </w:r>
          </w:p>
        </w:tc>
        <w:tc>
          <w:tcPr>
            <w:tcW w:w="16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of 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Vested in the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that Vested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Conditions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w w:val="99"/>
              </w:rPr>
              <w:t>Value or 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Adjustments</w:t>
            </w:r>
          </w:p>
        </w:tc>
        <w:tc>
          <w:tcPr>
            <w:tcW w:w="160" w:type="dxa"/>
            <w:vAlign w:val="bottom"/>
          </w:tcPr>
          <w:p>
            <w:pPr>
              <w:spacing w:after="0"/>
              <w:rPr>
                <w:sz w:val="12"/>
                <w:szCs w:val="12"/>
                <w:color w:val="auto"/>
              </w:rPr>
            </w:pPr>
          </w:p>
        </w:tc>
      </w:tr>
      <w:tr>
        <w:trPr>
          <w:trHeight w:val="178"/>
        </w:trPr>
        <w:tc>
          <w:tcPr>
            <w:tcW w:w="6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b w:val="1"/>
                <w:bCs w:val="1"/>
                <w:color w:val="FFFFFF"/>
              </w:rPr>
              <w:t>Year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Awards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FFFFF"/>
              </w:rPr>
              <w:t>Awards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FFFFFF"/>
              </w:rPr>
              <w:t>Year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FFFFFF"/>
              </w:rPr>
              <w:t>the Year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rPr>
              <w:t>the Year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FFFFF"/>
              </w:rPr>
              <w:t>Compensation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1"/>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15"/>
                <w:szCs w:val="15"/>
                <w:color w:val="auto"/>
              </w:rPr>
            </w:pPr>
          </w:p>
        </w:tc>
      </w:tr>
      <w:tr>
        <w:trPr>
          <w:trHeight w:val="353"/>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0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-23,929,000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-23,929,000</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35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0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8,238,085</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15,410,257</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23,648,342</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35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37,855,000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80"/>
              <w:spacing w:after="0"/>
              <w:rPr>
                <w:sz w:val="20"/>
                <w:szCs w:val="20"/>
                <w:color w:val="auto"/>
              </w:rPr>
            </w:pPr>
            <w:r>
              <w:rPr>
                <w:rFonts w:ascii="Arial" w:cs="Arial" w:eastAsia="Arial" w:hAnsi="Arial"/>
                <w:sz w:val="4"/>
                <w:szCs w:val="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0</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37,855,000</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r>
    </w:tbl>
    <w:p>
      <w:pPr>
        <w:spacing w:after="0" w:line="149" w:lineRule="exact"/>
        <w:rPr>
          <w:sz w:val="20"/>
          <w:szCs w:val="20"/>
          <w:color w:val="auto"/>
        </w:rPr>
      </w:pPr>
    </w:p>
    <w:p>
      <w:pPr>
        <w:ind w:left="244" w:right="40" w:hanging="244"/>
        <w:spacing w:after="0" w:line="223" w:lineRule="auto"/>
        <w:tabs>
          <w:tab w:leader="none" w:pos="244"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The dollar amounts reported in column (d) represent the average of the amounts reported for the company’s named executive officers (“</w:t>
      </w:r>
      <w:r>
        <w:rPr>
          <w:rFonts w:ascii="Arial" w:cs="Arial" w:eastAsia="Arial" w:hAnsi="Arial"/>
          <w:sz w:val="14"/>
          <w:szCs w:val="14"/>
          <w:b w:val="1"/>
          <w:bCs w:val="1"/>
          <w:i w:val="1"/>
          <w:iCs w:val="1"/>
          <w:color w:val="auto"/>
        </w:rPr>
        <w:t>NEOs</w:t>
      </w:r>
      <w:r>
        <w:rPr>
          <w:rFonts w:ascii="Arial" w:cs="Arial" w:eastAsia="Arial" w:hAnsi="Arial"/>
          <w:sz w:val="14"/>
          <w:szCs w:val="14"/>
          <w:color w:val="auto"/>
        </w:rPr>
        <w:t>”) as a group (excluding Mr. Houston) in the “Total”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in each applicable year. The names of each of the NEOs (excluding Mr. Houston) included for purposes of calculating the average amounts in each applicable year are as follows: (i) for 2022, Timothy Young, Tim Regan and Bart Volkmer; (ii) for 2021, Timothy Young, Tim Regan, Bart Volkmer, and Olivia Nottebohm; and (iii) for 2020, Timothy Young, Tim Regan, Bart Volkmer, Olivia Nottebohm, and Ajay Vashee.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56 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118" w:right="1159" w:bottom="1440" w:gutter="0" w:footer="0" w:header="0"/>
        </w:sectPr>
      </w:pPr>
    </w:p>
    <w:bookmarkStart w:id="60" w:name="page61"/>
    <w:bookmarkEnd w:id="60"/>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left="244" w:right="100" w:hanging="244"/>
        <w:spacing w:after="0" w:line="211" w:lineRule="auto"/>
        <w:tabs>
          <w:tab w:leader="none" w:pos="244"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w:t>
      </w:r>
    </w:p>
    <w:p>
      <w:pPr>
        <w:ind w:left="244"/>
        <w:spacing w:after="0"/>
        <w:rPr>
          <w:rFonts w:ascii="Arial" w:cs="Arial" w:eastAsia="Arial" w:hAnsi="Arial"/>
          <w:sz w:val="22"/>
          <w:szCs w:val="22"/>
          <w:color w:val="auto"/>
          <w:vertAlign w:val="superscript"/>
        </w:rPr>
      </w:pPr>
      <w:r>
        <w:rPr>
          <w:rFonts w:ascii="Arial" w:cs="Arial" w:eastAsia="Arial" w:hAnsi="Arial"/>
          <w:sz w:val="14"/>
          <w:szCs w:val="14"/>
          <w:color w:val="auto"/>
        </w:rPr>
        <w:t>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48895</wp:posOffset>
            </wp:positionV>
            <wp:extent cx="5915025" cy="12604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5025" cy="1260475"/>
                    </a:xfrm>
                    <a:prstGeom prst="rect">
                      <a:avLst/>
                    </a:prstGeom>
                    <a:noFill/>
                  </pic:spPr>
                </pic:pic>
              </a:graphicData>
            </a:graphic>
          </wp:anchor>
        </w:drawing>
      </w:r>
    </w:p>
    <w:p>
      <w:pPr>
        <w:spacing w:after="0" w:line="57" w:lineRule="exact"/>
        <w:rPr>
          <w:sz w:val="20"/>
          <w:szCs w:val="20"/>
          <w:color w:val="auto"/>
        </w:rPr>
      </w:pPr>
    </w:p>
    <w:tbl>
      <w:tblPr>
        <w:tblLayout w:type="fixed"/>
        <w:tblInd w:w="244" w:type="dxa"/>
        <w:tblCellMar>
          <w:top w:w="0" w:type="dxa"/>
          <w:left w:w="0" w:type="dxa"/>
          <w:bottom w:w="0" w:type="dxa"/>
          <w:right w:w="0" w:type="dxa"/>
        </w:tblCellMar>
      </w:tblPr>
      <w:tr>
        <w:trPr>
          <w:trHeight w:val="240"/>
        </w:trPr>
        <w:tc>
          <w:tcPr>
            <w:tcW w:w="60" w:type="dxa"/>
            <w:vAlign w:val="bottom"/>
            <w:shd w:val="clear" w:color="auto" w:fill="0063A6"/>
          </w:tcPr>
          <w:p>
            <w:pPr>
              <w:spacing w:after="0"/>
              <w:rPr>
                <w:sz w:val="20"/>
                <w:szCs w:val="20"/>
                <w:color w:val="auto"/>
              </w:rPr>
            </w:pPr>
          </w:p>
        </w:tc>
        <w:tc>
          <w:tcPr>
            <w:tcW w:w="520" w:type="dxa"/>
            <w:vAlign w:val="bottom"/>
            <w:shd w:val="clear" w:color="auto" w:fill="0063A6"/>
          </w:tcPr>
          <w:p>
            <w:pPr>
              <w:spacing w:after="0"/>
              <w:rPr>
                <w:sz w:val="20"/>
                <w:szCs w:val="20"/>
                <w:color w:val="auto"/>
              </w:rPr>
            </w:pPr>
          </w:p>
        </w:tc>
        <w:tc>
          <w:tcPr>
            <w:tcW w:w="340" w:type="dxa"/>
            <w:vAlign w:val="bottom"/>
            <w:shd w:val="clear" w:color="auto" w:fill="0063A6"/>
          </w:tcPr>
          <w:p>
            <w:pPr>
              <w:spacing w:after="0"/>
              <w:rPr>
                <w:sz w:val="20"/>
                <w:szCs w:val="20"/>
                <w:color w:val="auto"/>
              </w:rPr>
            </w:pPr>
          </w:p>
        </w:tc>
        <w:tc>
          <w:tcPr>
            <w:tcW w:w="380" w:type="dxa"/>
            <w:vAlign w:val="bottom"/>
            <w:shd w:val="clear" w:color="auto" w:fill="0063A6"/>
          </w:tcPr>
          <w:p>
            <w:pPr>
              <w:spacing w:after="0"/>
              <w:rPr>
                <w:sz w:val="20"/>
                <w:szCs w:val="20"/>
                <w:color w:val="auto"/>
              </w:rPr>
            </w:pPr>
          </w:p>
        </w:tc>
        <w:tc>
          <w:tcPr>
            <w:tcW w:w="148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Average</w:t>
            </w:r>
          </w:p>
        </w:tc>
        <w:tc>
          <w:tcPr>
            <w:tcW w:w="220" w:type="dxa"/>
            <w:vAlign w:val="bottom"/>
            <w:shd w:val="clear" w:color="auto" w:fill="0063A6"/>
          </w:tcPr>
          <w:p>
            <w:pPr>
              <w:spacing w:after="0"/>
              <w:rPr>
                <w:sz w:val="20"/>
                <w:szCs w:val="20"/>
                <w:color w:val="auto"/>
              </w:rPr>
            </w:pPr>
          </w:p>
        </w:tc>
        <w:tc>
          <w:tcPr>
            <w:tcW w:w="400" w:type="dxa"/>
            <w:vAlign w:val="bottom"/>
            <w:shd w:val="clear" w:color="auto" w:fill="0063A6"/>
          </w:tcPr>
          <w:p>
            <w:pPr>
              <w:spacing w:after="0"/>
              <w:rPr>
                <w:sz w:val="20"/>
                <w:szCs w:val="20"/>
                <w:color w:val="auto"/>
              </w:rPr>
            </w:pPr>
          </w:p>
        </w:tc>
        <w:tc>
          <w:tcPr>
            <w:tcW w:w="1220" w:type="dxa"/>
            <w:vAlign w:val="bottom"/>
            <w:shd w:val="clear" w:color="auto" w:fill="0063A6"/>
          </w:tcPr>
          <w:p>
            <w:pPr>
              <w:spacing w:after="0"/>
              <w:rPr>
                <w:sz w:val="20"/>
                <w:szCs w:val="20"/>
                <w:color w:val="auto"/>
              </w:rPr>
            </w:pPr>
          </w:p>
        </w:tc>
        <w:tc>
          <w:tcPr>
            <w:tcW w:w="260" w:type="dxa"/>
            <w:vAlign w:val="bottom"/>
            <w:shd w:val="clear" w:color="auto" w:fill="0063A6"/>
          </w:tcPr>
          <w:p>
            <w:pPr>
              <w:spacing w:after="0"/>
              <w:rPr>
                <w:sz w:val="20"/>
                <w:szCs w:val="20"/>
                <w:color w:val="auto"/>
              </w:rPr>
            </w:pPr>
          </w:p>
        </w:tc>
        <w:tc>
          <w:tcPr>
            <w:tcW w:w="380" w:type="dxa"/>
            <w:vAlign w:val="bottom"/>
            <w:shd w:val="clear" w:color="auto" w:fill="0063A6"/>
          </w:tcPr>
          <w:p>
            <w:pPr>
              <w:spacing w:after="0"/>
              <w:rPr>
                <w:sz w:val="20"/>
                <w:szCs w:val="20"/>
                <w:color w:val="auto"/>
              </w:rPr>
            </w:pPr>
          </w:p>
        </w:tc>
        <w:tc>
          <w:tcPr>
            <w:tcW w:w="1700" w:type="dxa"/>
            <w:vAlign w:val="bottom"/>
            <w:shd w:val="clear" w:color="auto" w:fill="0063A6"/>
          </w:tcPr>
          <w:p>
            <w:pPr>
              <w:spacing w:after="0"/>
              <w:rPr>
                <w:sz w:val="20"/>
                <w:szCs w:val="20"/>
                <w:color w:val="auto"/>
              </w:rPr>
            </w:pPr>
          </w:p>
        </w:tc>
        <w:tc>
          <w:tcPr>
            <w:tcW w:w="220" w:type="dxa"/>
            <w:vAlign w:val="bottom"/>
            <w:shd w:val="clear" w:color="auto" w:fill="0063A6"/>
          </w:tcPr>
          <w:p>
            <w:pPr>
              <w:spacing w:after="0"/>
              <w:rPr>
                <w:sz w:val="20"/>
                <w:szCs w:val="20"/>
                <w:color w:val="auto"/>
              </w:rPr>
            </w:pPr>
          </w:p>
        </w:tc>
        <w:tc>
          <w:tcPr>
            <w:tcW w:w="400" w:type="dxa"/>
            <w:vAlign w:val="bottom"/>
            <w:shd w:val="clear" w:color="auto" w:fill="0063A6"/>
          </w:tcPr>
          <w:p>
            <w:pPr>
              <w:spacing w:after="0"/>
              <w:rPr>
                <w:sz w:val="20"/>
                <w:szCs w:val="20"/>
                <w:color w:val="auto"/>
              </w:rPr>
            </w:pPr>
          </w:p>
        </w:tc>
        <w:tc>
          <w:tcPr>
            <w:tcW w:w="1600" w:type="dxa"/>
            <w:vAlign w:val="bottom"/>
            <w:shd w:val="clear" w:color="auto" w:fill="0063A6"/>
          </w:tcPr>
          <w:p>
            <w:pPr>
              <w:spacing w:after="0"/>
              <w:rPr>
                <w:sz w:val="20"/>
                <w:szCs w:val="20"/>
                <w:color w:val="auto"/>
              </w:rPr>
            </w:pPr>
          </w:p>
        </w:tc>
        <w:tc>
          <w:tcPr>
            <w:tcW w:w="14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0063A6"/>
          </w:tcPr>
          <w:p>
            <w:pPr>
              <w:spacing w:after="0"/>
              <w:rPr>
                <w:sz w:val="12"/>
                <w:szCs w:val="12"/>
                <w:color w:val="auto"/>
              </w:rPr>
            </w:pPr>
          </w:p>
        </w:tc>
        <w:tc>
          <w:tcPr>
            <w:tcW w:w="520" w:type="dxa"/>
            <w:vAlign w:val="bottom"/>
            <w:shd w:val="clear" w:color="auto" w:fill="0063A6"/>
          </w:tcPr>
          <w:p>
            <w:pPr>
              <w:spacing w:after="0"/>
              <w:rPr>
                <w:sz w:val="12"/>
                <w:szCs w:val="12"/>
                <w:color w:val="auto"/>
              </w:rPr>
            </w:pPr>
          </w:p>
        </w:tc>
        <w:tc>
          <w:tcPr>
            <w:tcW w:w="340" w:type="dxa"/>
            <w:vAlign w:val="bottom"/>
            <w:shd w:val="clear" w:color="auto" w:fill="0063A6"/>
          </w:tcPr>
          <w:p>
            <w:pPr>
              <w:spacing w:after="0"/>
              <w:rPr>
                <w:sz w:val="12"/>
                <w:szCs w:val="12"/>
                <w:color w:val="auto"/>
              </w:rPr>
            </w:pPr>
          </w:p>
        </w:tc>
        <w:tc>
          <w:tcPr>
            <w:tcW w:w="380" w:type="dxa"/>
            <w:vAlign w:val="bottom"/>
            <w:shd w:val="clear" w:color="auto" w:fill="0063A6"/>
          </w:tcPr>
          <w:p>
            <w:pPr>
              <w:spacing w:after="0"/>
              <w:rPr>
                <w:sz w:val="12"/>
                <w:szCs w:val="12"/>
                <w:color w:val="auto"/>
              </w:rPr>
            </w:pPr>
          </w:p>
        </w:tc>
        <w:tc>
          <w:tcPr>
            <w:tcW w:w="148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Reported Summary</w:t>
            </w:r>
          </w:p>
        </w:tc>
        <w:tc>
          <w:tcPr>
            <w:tcW w:w="220" w:type="dxa"/>
            <w:vAlign w:val="bottom"/>
            <w:shd w:val="clear" w:color="auto" w:fill="0063A6"/>
          </w:tcPr>
          <w:p>
            <w:pPr>
              <w:spacing w:after="0"/>
              <w:rPr>
                <w:sz w:val="12"/>
                <w:szCs w:val="12"/>
                <w:color w:val="auto"/>
              </w:rPr>
            </w:pPr>
          </w:p>
        </w:tc>
        <w:tc>
          <w:tcPr>
            <w:tcW w:w="400" w:type="dxa"/>
            <w:vAlign w:val="bottom"/>
            <w:shd w:val="clear" w:color="auto" w:fill="0063A6"/>
          </w:tcPr>
          <w:p>
            <w:pPr>
              <w:spacing w:after="0"/>
              <w:rPr>
                <w:sz w:val="12"/>
                <w:szCs w:val="12"/>
                <w:color w:val="auto"/>
              </w:rPr>
            </w:pPr>
          </w:p>
        </w:tc>
        <w:tc>
          <w:tcPr>
            <w:tcW w:w="1220" w:type="dxa"/>
            <w:vAlign w:val="bottom"/>
            <w:shd w:val="clear" w:color="auto" w:fill="0063A6"/>
          </w:tcPr>
          <w:p>
            <w:pPr>
              <w:jc w:val="center"/>
              <w:ind w:left="111"/>
              <w:spacing w:after="0"/>
              <w:rPr>
                <w:sz w:val="20"/>
                <w:szCs w:val="20"/>
                <w:color w:val="auto"/>
              </w:rPr>
            </w:pPr>
            <w:r>
              <w:rPr>
                <w:rFonts w:ascii="Arial" w:cs="Arial" w:eastAsia="Arial" w:hAnsi="Arial"/>
                <w:sz w:val="13"/>
                <w:szCs w:val="13"/>
                <w:b w:val="1"/>
                <w:bCs w:val="1"/>
                <w:color w:val="FFFFFF"/>
              </w:rPr>
              <w:t>Average</w:t>
            </w:r>
          </w:p>
        </w:tc>
        <w:tc>
          <w:tcPr>
            <w:tcW w:w="260" w:type="dxa"/>
            <w:vAlign w:val="bottom"/>
            <w:shd w:val="clear" w:color="auto" w:fill="0063A6"/>
          </w:tcPr>
          <w:p>
            <w:pPr>
              <w:spacing w:after="0"/>
              <w:rPr>
                <w:sz w:val="12"/>
                <w:szCs w:val="12"/>
                <w:color w:val="auto"/>
              </w:rPr>
            </w:pPr>
          </w:p>
        </w:tc>
        <w:tc>
          <w:tcPr>
            <w:tcW w:w="380" w:type="dxa"/>
            <w:vAlign w:val="bottom"/>
            <w:shd w:val="clear" w:color="auto" w:fill="0063A6"/>
          </w:tcPr>
          <w:p>
            <w:pPr>
              <w:spacing w:after="0"/>
              <w:rPr>
                <w:sz w:val="12"/>
                <w:szCs w:val="12"/>
                <w:color w:val="auto"/>
              </w:rPr>
            </w:pPr>
          </w:p>
        </w:tc>
        <w:tc>
          <w:tcPr>
            <w:tcW w:w="1700" w:type="dxa"/>
            <w:vAlign w:val="bottom"/>
            <w:vMerge w:val="restart"/>
            <w:shd w:val="clear" w:color="auto" w:fill="0063A6"/>
          </w:tcPr>
          <w:p>
            <w:pPr>
              <w:jc w:val="center"/>
              <w:ind w:left="52"/>
              <w:spacing w:after="0"/>
              <w:rPr>
                <w:sz w:val="20"/>
                <w:szCs w:val="20"/>
                <w:color w:val="auto"/>
              </w:rPr>
            </w:pPr>
            <w:r>
              <w:rPr>
                <w:rFonts w:ascii="Arial" w:cs="Arial" w:eastAsia="Arial" w:hAnsi="Arial"/>
                <w:sz w:val="13"/>
                <w:szCs w:val="13"/>
                <w:b w:val="1"/>
                <w:bCs w:val="1"/>
                <w:color w:val="FFFFFF"/>
              </w:rPr>
              <w:t>Average Equity</w:t>
            </w:r>
          </w:p>
        </w:tc>
        <w:tc>
          <w:tcPr>
            <w:tcW w:w="220" w:type="dxa"/>
            <w:vAlign w:val="bottom"/>
            <w:shd w:val="clear" w:color="auto" w:fill="0063A6"/>
          </w:tcPr>
          <w:p>
            <w:pPr>
              <w:spacing w:after="0"/>
              <w:rPr>
                <w:sz w:val="12"/>
                <w:szCs w:val="12"/>
                <w:color w:val="auto"/>
              </w:rPr>
            </w:pPr>
          </w:p>
        </w:tc>
        <w:tc>
          <w:tcPr>
            <w:tcW w:w="400" w:type="dxa"/>
            <w:vAlign w:val="bottom"/>
            <w:shd w:val="clear" w:color="auto" w:fill="0063A6"/>
          </w:tcPr>
          <w:p>
            <w:pPr>
              <w:spacing w:after="0"/>
              <w:rPr>
                <w:sz w:val="12"/>
                <w:szCs w:val="12"/>
                <w:color w:val="auto"/>
              </w:rPr>
            </w:pPr>
          </w:p>
        </w:tc>
        <w:tc>
          <w:tcPr>
            <w:tcW w:w="160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Average</w:t>
            </w:r>
          </w:p>
        </w:tc>
        <w:tc>
          <w:tcPr>
            <w:tcW w:w="14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520" w:type="dxa"/>
            <w:vAlign w:val="bottom"/>
            <w:shd w:val="clear" w:color="auto" w:fill="0063A6"/>
          </w:tcPr>
          <w:p>
            <w:pPr>
              <w:spacing w:after="0"/>
              <w:rPr>
                <w:sz w:val="12"/>
                <w:szCs w:val="12"/>
                <w:color w:val="auto"/>
              </w:rPr>
            </w:pPr>
          </w:p>
        </w:tc>
        <w:tc>
          <w:tcPr>
            <w:tcW w:w="340" w:type="dxa"/>
            <w:vAlign w:val="bottom"/>
            <w:shd w:val="clear" w:color="auto" w:fill="0063A6"/>
          </w:tcPr>
          <w:p>
            <w:pPr>
              <w:ind w:left="140"/>
              <w:spacing w:after="0"/>
              <w:rPr>
                <w:sz w:val="20"/>
                <w:szCs w:val="20"/>
                <w:color w:val="auto"/>
              </w:rPr>
            </w:pPr>
            <w:r>
              <w:rPr>
                <w:rFonts w:ascii="Arial" w:cs="Arial" w:eastAsia="Arial" w:hAnsi="Arial"/>
                <w:sz w:val="4"/>
                <w:szCs w:val="4"/>
                <w:color w:val="auto"/>
              </w:rPr>
              <w:t>​</w:t>
            </w:r>
          </w:p>
        </w:tc>
        <w:tc>
          <w:tcPr>
            <w:tcW w:w="380" w:type="dxa"/>
            <w:vAlign w:val="bottom"/>
            <w:shd w:val="clear" w:color="auto" w:fill="0063A6"/>
          </w:tcPr>
          <w:p>
            <w:pPr>
              <w:ind w:left="200"/>
              <w:spacing w:after="0"/>
              <w:rPr>
                <w:sz w:val="20"/>
                <w:szCs w:val="20"/>
                <w:color w:val="auto"/>
              </w:rPr>
            </w:pPr>
            <w:r>
              <w:rPr>
                <w:rFonts w:ascii="Arial" w:cs="Arial" w:eastAsia="Arial" w:hAnsi="Arial"/>
                <w:sz w:val="4"/>
                <w:szCs w:val="4"/>
                <w:color w:val="auto"/>
              </w:rPr>
              <w:t>​</w:t>
            </w:r>
          </w:p>
        </w:tc>
        <w:tc>
          <w:tcPr>
            <w:tcW w:w="1700" w:type="dxa"/>
            <w:vAlign w:val="bottom"/>
            <w:gridSpan w:val="2"/>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 xml:space="preserve">Compensation Table </w:t>
            </w:r>
            <w:r>
              <w:rPr>
                <w:rFonts w:ascii="Arial" w:cs="Arial" w:eastAsia="Arial" w:hAnsi="Arial"/>
                <w:sz w:val="3"/>
                <w:szCs w:val="3"/>
                <w:color w:val="000000"/>
              </w:rPr>
              <w:t>​</w:t>
            </w:r>
          </w:p>
        </w:tc>
        <w:tc>
          <w:tcPr>
            <w:tcW w:w="40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220" w:type="dxa"/>
            <w:vAlign w:val="bottom"/>
            <w:shd w:val="clear" w:color="auto" w:fill="0063A6"/>
          </w:tcPr>
          <w:p>
            <w:pPr>
              <w:jc w:val="center"/>
              <w:ind w:left="91"/>
              <w:spacing w:after="0" w:line="138" w:lineRule="exact"/>
              <w:rPr>
                <w:sz w:val="20"/>
                <w:szCs w:val="20"/>
                <w:color w:val="auto"/>
              </w:rPr>
            </w:pPr>
            <w:r>
              <w:rPr>
                <w:rFonts w:ascii="Arial" w:cs="Arial" w:eastAsia="Arial" w:hAnsi="Arial"/>
                <w:sz w:val="13"/>
                <w:szCs w:val="13"/>
                <w:b w:val="1"/>
                <w:bCs w:val="1"/>
                <w:color w:val="FFFFFF"/>
              </w:rPr>
              <w:t>Reported</w:t>
            </w:r>
          </w:p>
        </w:tc>
        <w:tc>
          <w:tcPr>
            <w:tcW w:w="2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38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700" w:type="dxa"/>
            <w:vAlign w:val="bottom"/>
            <w:vMerge w:val="continue"/>
            <w:shd w:val="clear" w:color="auto" w:fill="0063A6"/>
          </w:tcPr>
          <w:p>
            <w:pPr>
              <w:spacing w:after="0"/>
              <w:rPr>
                <w:sz w:val="12"/>
                <w:szCs w:val="12"/>
                <w:color w:val="auto"/>
              </w:rPr>
            </w:pPr>
          </w:p>
        </w:tc>
        <w:tc>
          <w:tcPr>
            <w:tcW w:w="22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400" w:type="dxa"/>
            <w:vAlign w:val="bottom"/>
            <w:shd w:val="clear" w:color="auto" w:fill="0063A6"/>
          </w:tcPr>
          <w:p>
            <w:pPr>
              <w:ind w:left="180"/>
              <w:spacing w:after="0"/>
              <w:rPr>
                <w:sz w:val="20"/>
                <w:szCs w:val="20"/>
                <w:color w:val="auto"/>
              </w:rPr>
            </w:pPr>
            <w:r>
              <w:rPr>
                <w:rFonts w:ascii="Arial" w:cs="Arial" w:eastAsia="Arial" w:hAnsi="Arial"/>
                <w:sz w:val="4"/>
                <w:szCs w:val="4"/>
                <w:color w:val="auto"/>
              </w:rPr>
              <w:t>​</w:t>
            </w:r>
          </w:p>
        </w:tc>
        <w:tc>
          <w:tcPr>
            <w:tcW w:w="1600" w:type="dxa"/>
            <w:vAlign w:val="bottom"/>
            <w:shd w:val="clear" w:color="auto" w:fill="0063A6"/>
          </w:tcPr>
          <w:p>
            <w:pPr>
              <w:jc w:val="center"/>
              <w:ind w:left="71"/>
              <w:spacing w:after="0" w:line="138" w:lineRule="exact"/>
              <w:rPr>
                <w:sz w:val="20"/>
                <w:szCs w:val="20"/>
                <w:color w:val="auto"/>
              </w:rPr>
            </w:pPr>
            <w:r>
              <w:rPr>
                <w:rFonts w:ascii="Arial" w:cs="Arial" w:eastAsia="Arial" w:hAnsi="Arial"/>
                <w:sz w:val="13"/>
                <w:szCs w:val="13"/>
                <w:b w:val="1"/>
                <w:bCs w:val="1"/>
                <w:color w:val="FFFFFF"/>
              </w:rPr>
              <w:t>Compensation</w:t>
            </w:r>
          </w:p>
        </w:tc>
        <w:tc>
          <w:tcPr>
            <w:tcW w:w="14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54"/>
        </w:trPr>
        <w:tc>
          <w:tcPr>
            <w:tcW w:w="60" w:type="dxa"/>
            <w:vAlign w:val="bottom"/>
            <w:shd w:val="clear" w:color="auto" w:fill="0063A6"/>
          </w:tcPr>
          <w:p>
            <w:pPr>
              <w:spacing w:after="0"/>
              <w:rPr>
                <w:sz w:val="13"/>
                <w:szCs w:val="13"/>
                <w:color w:val="auto"/>
              </w:rPr>
            </w:pPr>
          </w:p>
        </w:tc>
        <w:tc>
          <w:tcPr>
            <w:tcW w:w="520" w:type="dxa"/>
            <w:vAlign w:val="bottom"/>
            <w:shd w:val="clear" w:color="auto" w:fill="0063A6"/>
          </w:tcPr>
          <w:p>
            <w:pPr>
              <w:spacing w:after="0"/>
              <w:rPr>
                <w:sz w:val="13"/>
                <w:szCs w:val="13"/>
                <w:color w:val="auto"/>
              </w:rPr>
            </w:pPr>
          </w:p>
        </w:tc>
        <w:tc>
          <w:tcPr>
            <w:tcW w:w="340" w:type="dxa"/>
            <w:vAlign w:val="bottom"/>
            <w:shd w:val="clear" w:color="auto" w:fill="0063A6"/>
          </w:tcPr>
          <w:p>
            <w:pPr>
              <w:spacing w:after="0"/>
              <w:rPr>
                <w:sz w:val="13"/>
                <w:szCs w:val="13"/>
                <w:color w:val="auto"/>
              </w:rPr>
            </w:pPr>
          </w:p>
        </w:tc>
        <w:tc>
          <w:tcPr>
            <w:tcW w:w="380" w:type="dxa"/>
            <w:vAlign w:val="bottom"/>
            <w:shd w:val="clear" w:color="auto" w:fill="0063A6"/>
          </w:tcPr>
          <w:p>
            <w:pPr>
              <w:spacing w:after="0"/>
              <w:rPr>
                <w:sz w:val="13"/>
                <w:szCs w:val="13"/>
                <w:color w:val="auto"/>
              </w:rPr>
            </w:pPr>
          </w:p>
        </w:tc>
        <w:tc>
          <w:tcPr>
            <w:tcW w:w="148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Total for Non-PEO</w:t>
            </w:r>
          </w:p>
        </w:tc>
        <w:tc>
          <w:tcPr>
            <w:tcW w:w="220" w:type="dxa"/>
            <w:vAlign w:val="bottom"/>
            <w:shd w:val="clear" w:color="auto" w:fill="0063A6"/>
          </w:tcPr>
          <w:p>
            <w:pPr>
              <w:spacing w:after="0"/>
              <w:rPr>
                <w:sz w:val="13"/>
                <w:szCs w:val="13"/>
                <w:color w:val="auto"/>
              </w:rPr>
            </w:pPr>
          </w:p>
        </w:tc>
        <w:tc>
          <w:tcPr>
            <w:tcW w:w="400" w:type="dxa"/>
            <w:vAlign w:val="bottom"/>
            <w:shd w:val="clear" w:color="auto" w:fill="0063A6"/>
          </w:tcPr>
          <w:p>
            <w:pPr>
              <w:spacing w:after="0"/>
              <w:rPr>
                <w:sz w:val="13"/>
                <w:szCs w:val="13"/>
                <w:color w:val="auto"/>
              </w:rPr>
            </w:pPr>
          </w:p>
        </w:tc>
        <w:tc>
          <w:tcPr>
            <w:tcW w:w="122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Value of Equity</w:t>
            </w:r>
          </w:p>
        </w:tc>
        <w:tc>
          <w:tcPr>
            <w:tcW w:w="260" w:type="dxa"/>
            <w:vAlign w:val="bottom"/>
            <w:shd w:val="clear" w:color="auto" w:fill="0063A6"/>
          </w:tcPr>
          <w:p>
            <w:pPr>
              <w:spacing w:after="0"/>
              <w:rPr>
                <w:sz w:val="13"/>
                <w:szCs w:val="13"/>
                <w:color w:val="auto"/>
              </w:rPr>
            </w:pPr>
          </w:p>
        </w:tc>
        <w:tc>
          <w:tcPr>
            <w:tcW w:w="380" w:type="dxa"/>
            <w:vAlign w:val="bottom"/>
            <w:shd w:val="clear" w:color="auto" w:fill="0063A6"/>
          </w:tcPr>
          <w:p>
            <w:pPr>
              <w:spacing w:after="0"/>
              <w:rPr>
                <w:sz w:val="13"/>
                <w:szCs w:val="13"/>
                <w:color w:val="auto"/>
              </w:rPr>
            </w:pPr>
          </w:p>
        </w:tc>
        <w:tc>
          <w:tcPr>
            <w:tcW w:w="1700" w:type="dxa"/>
            <w:vAlign w:val="bottom"/>
            <w:shd w:val="clear" w:color="auto" w:fill="0063A6"/>
          </w:tcPr>
          <w:p>
            <w:pPr>
              <w:jc w:val="center"/>
              <w:ind w:left="112"/>
              <w:spacing w:after="0"/>
              <w:rPr>
                <w:sz w:val="20"/>
                <w:szCs w:val="20"/>
                <w:color w:val="auto"/>
              </w:rPr>
            </w:pPr>
            <w:r>
              <w:rPr>
                <w:rFonts w:ascii="Arial" w:cs="Arial" w:eastAsia="Arial" w:hAnsi="Arial"/>
                <w:sz w:val="13"/>
                <w:szCs w:val="13"/>
                <w:b w:val="1"/>
                <w:bCs w:val="1"/>
                <w:color w:val="FFFFFF"/>
              </w:rPr>
              <w:t>Award Adjustments ($)</w:t>
            </w:r>
          </w:p>
        </w:tc>
        <w:tc>
          <w:tcPr>
            <w:tcW w:w="220" w:type="dxa"/>
            <w:vAlign w:val="bottom"/>
            <w:shd w:val="clear" w:color="auto" w:fill="0063A6"/>
          </w:tcPr>
          <w:p>
            <w:pPr>
              <w:spacing w:after="0"/>
              <w:rPr>
                <w:sz w:val="13"/>
                <w:szCs w:val="13"/>
                <w:color w:val="auto"/>
              </w:rPr>
            </w:pPr>
          </w:p>
        </w:tc>
        <w:tc>
          <w:tcPr>
            <w:tcW w:w="400" w:type="dxa"/>
            <w:vAlign w:val="bottom"/>
            <w:shd w:val="clear" w:color="auto" w:fill="0063A6"/>
          </w:tcPr>
          <w:p>
            <w:pPr>
              <w:spacing w:after="0"/>
              <w:rPr>
                <w:sz w:val="13"/>
                <w:szCs w:val="13"/>
                <w:color w:val="auto"/>
              </w:rPr>
            </w:pPr>
          </w:p>
        </w:tc>
        <w:tc>
          <w:tcPr>
            <w:tcW w:w="1600" w:type="dxa"/>
            <w:vAlign w:val="bottom"/>
            <w:shd w:val="clear" w:color="auto" w:fill="0063A6"/>
          </w:tcPr>
          <w:p>
            <w:pPr>
              <w:jc w:val="center"/>
              <w:ind w:left="91"/>
              <w:spacing w:after="0"/>
              <w:rPr>
                <w:sz w:val="20"/>
                <w:szCs w:val="20"/>
                <w:color w:val="auto"/>
              </w:rPr>
            </w:pPr>
            <w:r>
              <w:rPr>
                <w:rFonts w:ascii="Arial" w:cs="Arial" w:eastAsia="Arial" w:hAnsi="Arial"/>
                <w:sz w:val="13"/>
                <w:szCs w:val="13"/>
                <w:b w:val="1"/>
                <w:bCs w:val="1"/>
                <w:color w:val="FFFFFF"/>
              </w:rPr>
              <w:t>Actually Paid to Non-</w:t>
            </w:r>
          </w:p>
        </w:tc>
        <w:tc>
          <w:tcPr>
            <w:tcW w:w="14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0063A6"/>
          </w:tcPr>
          <w:p>
            <w:pPr>
              <w:spacing w:after="0"/>
              <w:rPr>
                <w:sz w:val="15"/>
                <w:szCs w:val="15"/>
                <w:color w:val="auto"/>
              </w:rPr>
            </w:pPr>
          </w:p>
        </w:tc>
        <w:tc>
          <w:tcPr>
            <w:tcW w:w="520" w:type="dxa"/>
            <w:vAlign w:val="bottom"/>
            <w:shd w:val="clear" w:color="auto" w:fill="0063A6"/>
          </w:tcPr>
          <w:p>
            <w:pPr>
              <w:ind w:left="40"/>
              <w:spacing w:after="0"/>
              <w:rPr>
                <w:sz w:val="20"/>
                <w:szCs w:val="20"/>
                <w:color w:val="auto"/>
              </w:rPr>
            </w:pPr>
            <w:r>
              <w:rPr>
                <w:rFonts w:ascii="Arial" w:cs="Arial" w:eastAsia="Arial" w:hAnsi="Arial"/>
                <w:sz w:val="13"/>
                <w:szCs w:val="13"/>
                <w:b w:val="1"/>
                <w:bCs w:val="1"/>
                <w:color w:val="FFFFFF"/>
              </w:rPr>
              <w:t>Year</w:t>
            </w:r>
          </w:p>
        </w:tc>
        <w:tc>
          <w:tcPr>
            <w:tcW w:w="340" w:type="dxa"/>
            <w:vAlign w:val="bottom"/>
            <w:shd w:val="clear" w:color="auto" w:fill="0063A6"/>
          </w:tcPr>
          <w:p>
            <w:pPr>
              <w:spacing w:after="0"/>
              <w:rPr>
                <w:sz w:val="15"/>
                <w:szCs w:val="15"/>
                <w:color w:val="auto"/>
              </w:rPr>
            </w:pPr>
          </w:p>
        </w:tc>
        <w:tc>
          <w:tcPr>
            <w:tcW w:w="380" w:type="dxa"/>
            <w:vAlign w:val="bottom"/>
            <w:shd w:val="clear" w:color="auto" w:fill="0063A6"/>
          </w:tcPr>
          <w:p>
            <w:pPr>
              <w:spacing w:after="0"/>
              <w:rPr>
                <w:sz w:val="15"/>
                <w:szCs w:val="15"/>
                <w:color w:val="auto"/>
              </w:rPr>
            </w:pPr>
          </w:p>
        </w:tc>
        <w:tc>
          <w:tcPr>
            <w:tcW w:w="1480" w:type="dxa"/>
            <w:vAlign w:val="bottom"/>
            <w:shd w:val="clear" w:color="auto" w:fill="0063A6"/>
          </w:tcPr>
          <w:p>
            <w:pPr>
              <w:jc w:val="center"/>
              <w:ind w:left="131"/>
              <w:spacing w:after="0"/>
              <w:rPr>
                <w:sz w:val="20"/>
                <w:szCs w:val="20"/>
                <w:color w:val="auto"/>
              </w:rPr>
            </w:pPr>
            <w:r>
              <w:rPr>
                <w:rFonts w:ascii="Arial" w:cs="Arial" w:eastAsia="Arial" w:hAnsi="Arial"/>
                <w:sz w:val="13"/>
                <w:szCs w:val="13"/>
                <w:b w:val="1"/>
                <w:bCs w:val="1"/>
                <w:color w:val="FFFFFF"/>
              </w:rPr>
              <w:t>NEOs ($)</w:t>
            </w:r>
          </w:p>
        </w:tc>
        <w:tc>
          <w:tcPr>
            <w:tcW w:w="220" w:type="dxa"/>
            <w:vAlign w:val="bottom"/>
            <w:shd w:val="clear" w:color="auto" w:fill="0063A6"/>
          </w:tcPr>
          <w:p>
            <w:pPr>
              <w:spacing w:after="0"/>
              <w:rPr>
                <w:sz w:val="15"/>
                <w:szCs w:val="15"/>
                <w:color w:val="auto"/>
              </w:rPr>
            </w:pPr>
          </w:p>
        </w:tc>
        <w:tc>
          <w:tcPr>
            <w:tcW w:w="400" w:type="dxa"/>
            <w:vAlign w:val="bottom"/>
            <w:shd w:val="clear" w:color="auto" w:fill="0063A6"/>
          </w:tcPr>
          <w:p>
            <w:pPr>
              <w:spacing w:after="0"/>
              <w:rPr>
                <w:sz w:val="15"/>
                <w:szCs w:val="15"/>
                <w:color w:val="auto"/>
              </w:rPr>
            </w:pPr>
          </w:p>
        </w:tc>
        <w:tc>
          <w:tcPr>
            <w:tcW w:w="1220" w:type="dxa"/>
            <w:vAlign w:val="bottom"/>
            <w:shd w:val="clear" w:color="auto" w:fill="0063A6"/>
          </w:tcPr>
          <w:p>
            <w:pPr>
              <w:jc w:val="center"/>
              <w:ind w:left="131"/>
              <w:spacing w:after="0"/>
              <w:rPr>
                <w:sz w:val="20"/>
                <w:szCs w:val="20"/>
                <w:color w:val="auto"/>
              </w:rPr>
            </w:pPr>
            <w:r>
              <w:rPr>
                <w:rFonts w:ascii="Arial" w:cs="Arial" w:eastAsia="Arial" w:hAnsi="Arial"/>
                <w:sz w:val="13"/>
                <w:szCs w:val="13"/>
                <w:b w:val="1"/>
                <w:bCs w:val="1"/>
                <w:color w:val="FFFFFF"/>
              </w:rPr>
              <w:t>Awards($)</w:t>
            </w:r>
          </w:p>
        </w:tc>
        <w:tc>
          <w:tcPr>
            <w:tcW w:w="260" w:type="dxa"/>
            <w:vAlign w:val="bottom"/>
            <w:shd w:val="clear" w:color="auto" w:fill="0063A6"/>
          </w:tcPr>
          <w:p>
            <w:pPr>
              <w:spacing w:after="0"/>
              <w:rPr>
                <w:sz w:val="15"/>
                <w:szCs w:val="15"/>
                <w:color w:val="auto"/>
              </w:rPr>
            </w:pPr>
          </w:p>
        </w:tc>
        <w:tc>
          <w:tcPr>
            <w:tcW w:w="380" w:type="dxa"/>
            <w:vAlign w:val="bottom"/>
            <w:shd w:val="clear" w:color="auto" w:fill="0063A6"/>
          </w:tcPr>
          <w:p>
            <w:pPr>
              <w:spacing w:after="0"/>
              <w:rPr>
                <w:sz w:val="15"/>
                <w:szCs w:val="15"/>
                <w:color w:val="auto"/>
              </w:rPr>
            </w:pPr>
          </w:p>
        </w:tc>
        <w:tc>
          <w:tcPr>
            <w:tcW w:w="1700" w:type="dxa"/>
            <w:vAlign w:val="bottom"/>
            <w:shd w:val="clear" w:color="auto" w:fill="0063A6"/>
          </w:tcPr>
          <w:p>
            <w:pPr>
              <w:jc w:val="center"/>
              <w:ind w:left="92"/>
              <w:spacing w:after="0"/>
              <w:rPr>
                <w:sz w:val="20"/>
                <w:szCs w:val="20"/>
                <w:color w:val="auto"/>
              </w:rPr>
            </w:pPr>
            <w:r>
              <w:rPr>
                <w:rFonts w:ascii="Arial" w:cs="Arial" w:eastAsia="Arial" w:hAnsi="Arial"/>
                <w:sz w:val="11"/>
                <w:szCs w:val="11"/>
                <w:b w:val="1"/>
                <w:bCs w:val="1"/>
                <w:color w:val="FFFFFF"/>
              </w:rPr>
              <w:t>(a)</w:t>
            </w:r>
          </w:p>
        </w:tc>
        <w:tc>
          <w:tcPr>
            <w:tcW w:w="220" w:type="dxa"/>
            <w:vAlign w:val="bottom"/>
            <w:shd w:val="clear" w:color="auto" w:fill="0063A6"/>
          </w:tcPr>
          <w:p>
            <w:pPr>
              <w:spacing w:after="0"/>
              <w:rPr>
                <w:sz w:val="15"/>
                <w:szCs w:val="15"/>
                <w:color w:val="auto"/>
              </w:rPr>
            </w:pPr>
          </w:p>
        </w:tc>
        <w:tc>
          <w:tcPr>
            <w:tcW w:w="400" w:type="dxa"/>
            <w:vAlign w:val="bottom"/>
            <w:shd w:val="clear" w:color="auto" w:fill="0063A6"/>
          </w:tcPr>
          <w:p>
            <w:pPr>
              <w:spacing w:after="0"/>
              <w:rPr>
                <w:sz w:val="15"/>
                <w:szCs w:val="15"/>
                <w:color w:val="auto"/>
              </w:rPr>
            </w:pPr>
          </w:p>
        </w:tc>
        <w:tc>
          <w:tcPr>
            <w:tcW w:w="1600" w:type="dxa"/>
            <w:vAlign w:val="bottom"/>
            <w:shd w:val="clear" w:color="auto" w:fill="0063A6"/>
          </w:tcPr>
          <w:p>
            <w:pPr>
              <w:jc w:val="center"/>
              <w:ind w:left="111"/>
              <w:spacing w:after="0"/>
              <w:rPr>
                <w:sz w:val="20"/>
                <w:szCs w:val="20"/>
                <w:color w:val="auto"/>
              </w:rPr>
            </w:pPr>
            <w:r>
              <w:rPr>
                <w:rFonts w:ascii="Arial" w:cs="Arial" w:eastAsia="Arial" w:hAnsi="Arial"/>
                <w:sz w:val="13"/>
                <w:szCs w:val="13"/>
                <w:b w:val="1"/>
                <w:bCs w:val="1"/>
                <w:color w:val="FFFFFF"/>
              </w:rPr>
              <w:t>PEO NEOs ($)</w:t>
            </w:r>
          </w:p>
        </w:tc>
        <w:tc>
          <w:tcPr>
            <w:tcW w:w="14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60" w:type="dxa"/>
            <w:vAlign w:val="bottom"/>
            <w:shd w:val="clear" w:color="auto" w:fill="0063A6"/>
          </w:tcPr>
          <w:p>
            <w:pPr>
              <w:spacing w:after="0"/>
              <w:rPr>
                <w:sz w:val="7"/>
                <w:szCs w:val="7"/>
                <w:color w:val="auto"/>
              </w:rPr>
            </w:pPr>
          </w:p>
        </w:tc>
        <w:tc>
          <w:tcPr>
            <w:tcW w:w="520" w:type="dxa"/>
            <w:vAlign w:val="bottom"/>
            <w:shd w:val="clear" w:color="auto" w:fill="0063A6"/>
          </w:tcPr>
          <w:p>
            <w:pPr>
              <w:spacing w:after="0"/>
              <w:rPr>
                <w:sz w:val="7"/>
                <w:szCs w:val="7"/>
                <w:color w:val="auto"/>
              </w:rPr>
            </w:pPr>
          </w:p>
        </w:tc>
        <w:tc>
          <w:tcPr>
            <w:tcW w:w="340" w:type="dxa"/>
            <w:vAlign w:val="bottom"/>
            <w:shd w:val="clear" w:color="auto" w:fill="0063A6"/>
          </w:tcPr>
          <w:p>
            <w:pPr>
              <w:spacing w:after="0"/>
              <w:rPr>
                <w:sz w:val="7"/>
                <w:szCs w:val="7"/>
                <w:color w:val="auto"/>
              </w:rPr>
            </w:pPr>
          </w:p>
        </w:tc>
        <w:tc>
          <w:tcPr>
            <w:tcW w:w="380" w:type="dxa"/>
            <w:vAlign w:val="bottom"/>
            <w:shd w:val="clear" w:color="auto" w:fill="0063A6"/>
          </w:tcPr>
          <w:p>
            <w:pPr>
              <w:spacing w:after="0"/>
              <w:rPr>
                <w:sz w:val="7"/>
                <w:szCs w:val="7"/>
                <w:color w:val="auto"/>
              </w:rPr>
            </w:pPr>
          </w:p>
        </w:tc>
        <w:tc>
          <w:tcPr>
            <w:tcW w:w="1480" w:type="dxa"/>
            <w:vAlign w:val="bottom"/>
            <w:shd w:val="clear" w:color="auto" w:fill="0063A6"/>
          </w:tcPr>
          <w:p>
            <w:pPr>
              <w:spacing w:after="0"/>
              <w:rPr>
                <w:sz w:val="7"/>
                <w:szCs w:val="7"/>
                <w:color w:val="auto"/>
              </w:rPr>
            </w:pPr>
          </w:p>
        </w:tc>
        <w:tc>
          <w:tcPr>
            <w:tcW w:w="220" w:type="dxa"/>
            <w:vAlign w:val="bottom"/>
            <w:shd w:val="clear" w:color="auto" w:fill="0063A6"/>
          </w:tcPr>
          <w:p>
            <w:pPr>
              <w:spacing w:after="0"/>
              <w:rPr>
                <w:sz w:val="7"/>
                <w:szCs w:val="7"/>
                <w:color w:val="auto"/>
              </w:rPr>
            </w:pPr>
          </w:p>
        </w:tc>
        <w:tc>
          <w:tcPr>
            <w:tcW w:w="400" w:type="dxa"/>
            <w:vAlign w:val="bottom"/>
            <w:shd w:val="clear" w:color="auto" w:fill="0063A6"/>
          </w:tcPr>
          <w:p>
            <w:pPr>
              <w:spacing w:after="0"/>
              <w:rPr>
                <w:sz w:val="7"/>
                <w:szCs w:val="7"/>
                <w:color w:val="auto"/>
              </w:rPr>
            </w:pPr>
          </w:p>
        </w:tc>
        <w:tc>
          <w:tcPr>
            <w:tcW w:w="1220" w:type="dxa"/>
            <w:vAlign w:val="bottom"/>
            <w:shd w:val="clear" w:color="auto" w:fill="0063A6"/>
          </w:tcPr>
          <w:p>
            <w:pPr>
              <w:spacing w:after="0"/>
              <w:rPr>
                <w:sz w:val="7"/>
                <w:szCs w:val="7"/>
                <w:color w:val="auto"/>
              </w:rPr>
            </w:pPr>
          </w:p>
        </w:tc>
        <w:tc>
          <w:tcPr>
            <w:tcW w:w="260" w:type="dxa"/>
            <w:vAlign w:val="bottom"/>
            <w:shd w:val="clear" w:color="auto" w:fill="0063A6"/>
          </w:tcPr>
          <w:p>
            <w:pPr>
              <w:spacing w:after="0"/>
              <w:rPr>
                <w:sz w:val="7"/>
                <w:szCs w:val="7"/>
                <w:color w:val="auto"/>
              </w:rPr>
            </w:pPr>
          </w:p>
        </w:tc>
        <w:tc>
          <w:tcPr>
            <w:tcW w:w="380" w:type="dxa"/>
            <w:vAlign w:val="bottom"/>
            <w:shd w:val="clear" w:color="auto" w:fill="0063A6"/>
          </w:tcPr>
          <w:p>
            <w:pPr>
              <w:spacing w:after="0"/>
              <w:rPr>
                <w:sz w:val="7"/>
                <w:szCs w:val="7"/>
                <w:color w:val="auto"/>
              </w:rPr>
            </w:pPr>
          </w:p>
        </w:tc>
        <w:tc>
          <w:tcPr>
            <w:tcW w:w="1700" w:type="dxa"/>
            <w:vAlign w:val="bottom"/>
            <w:shd w:val="clear" w:color="auto" w:fill="0063A6"/>
          </w:tcPr>
          <w:p>
            <w:pPr>
              <w:spacing w:after="0"/>
              <w:rPr>
                <w:sz w:val="7"/>
                <w:szCs w:val="7"/>
                <w:color w:val="auto"/>
              </w:rPr>
            </w:pPr>
          </w:p>
        </w:tc>
        <w:tc>
          <w:tcPr>
            <w:tcW w:w="220" w:type="dxa"/>
            <w:vAlign w:val="bottom"/>
            <w:shd w:val="clear" w:color="auto" w:fill="0063A6"/>
          </w:tcPr>
          <w:p>
            <w:pPr>
              <w:spacing w:after="0"/>
              <w:rPr>
                <w:sz w:val="7"/>
                <w:szCs w:val="7"/>
                <w:color w:val="auto"/>
              </w:rPr>
            </w:pPr>
          </w:p>
        </w:tc>
        <w:tc>
          <w:tcPr>
            <w:tcW w:w="400" w:type="dxa"/>
            <w:vAlign w:val="bottom"/>
            <w:shd w:val="clear" w:color="auto" w:fill="0063A6"/>
          </w:tcPr>
          <w:p>
            <w:pPr>
              <w:spacing w:after="0"/>
              <w:rPr>
                <w:sz w:val="7"/>
                <w:szCs w:val="7"/>
                <w:color w:val="auto"/>
              </w:rPr>
            </w:pPr>
          </w:p>
        </w:tc>
        <w:tc>
          <w:tcPr>
            <w:tcW w:w="160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2022</w:t>
            </w:r>
          </w:p>
        </w:tc>
        <w:tc>
          <w:tcPr>
            <w:tcW w:w="3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ind w:left="171"/>
              <w:spacing w:after="0"/>
              <w:rPr>
                <w:sz w:val="20"/>
                <w:szCs w:val="20"/>
                <w:color w:val="auto"/>
              </w:rPr>
            </w:pPr>
            <w:r>
              <w:rPr>
                <w:rFonts w:ascii="Arial" w:cs="Arial" w:eastAsia="Arial" w:hAnsi="Arial"/>
                <w:sz w:val="14"/>
                <w:szCs w:val="14"/>
                <w:color w:val="auto"/>
              </w:rPr>
              <w:t>3,473,372</w:t>
            </w:r>
          </w:p>
        </w:tc>
        <w:tc>
          <w:tcPr>
            <w:tcW w:w="2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220" w:type="dxa"/>
            <w:vAlign w:val="bottom"/>
            <w:shd w:val="clear" w:color="auto" w:fill="F2F2F2"/>
          </w:tcPr>
          <w:p>
            <w:pPr>
              <w:jc w:val="center"/>
              <w:ind w:left="111"/>
              <w:spacing w:after="0"/>
              <w:rPr>
                <w:sz w:val="20"/>
                <w:szCs w:val="20"/>
                <w:color w:val="auto"/>
              </w:rPr>
            </w:pPr>
            <w:r>
              <w:rPr>
                <w:rFonts w:ascii="Arial" w:cs="Arial" w:eastAsia="Arial" w:hAnsi="Arial"/>
                <w:sz w:val="14"/>
                <w:szCs w:val="14"/>
                <w:color w:val="auto"/>
              </w:rPr>
              <w:t>2,607,061</w:t>
            </w:r>
          </w:p>
        </w:tc>
        <w:tc>
          <w:tcPr>
            <w:tcW w:w="2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700" w:type="dxa"/>
            <w:vAlign w:val="bottom"/>
            <w:shd w:val="clear" w:color="auto" w:fill="F2F2F2"/>
          </w:tcPr>
          <w:p>
            <w:pPr>
              <w:jc w:val="right"/>
              <w:ind w:right="372"/>
              <w:spacing w:after="0"/>
              <w:rPr>
                <w:sz w:val="20"/>
                <w:szCs w:val="20"/>
                <w:color w:val="auto"/>
              </w:rPr>
            </w:pPr>
            <w:r>
              <w:rPr>
                <w:rFonts w:ascii="Arial" w:cs="Arial" w:eastAsia="Arial" w:hAnsi="Arial"/>
                <w:sz w:val="14"/>
                <w:szCs w:val="14"/>
                <w:color w:val="auto"/>
              </w:rPr>
              <w:t>-337,824</w:t>
            </w:r>
          </w:p>
        </w:tc>
        <w:tc>
          <w:tcPr>
            <w:tcW w:w="2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jc w:val="right"/>
              <w:ind w:right="291"/>
              <w:spacing w:after="0"/>
              <w:rPr>
                <w:sz w:val="20"/>
                <w:szCs w:val="20"/>
                <w:color w:val="auto"/>
              </w:rPr>
            </w:pPr>
            <w:r>
              <w:rPr>
                <w:rFonts w:ascii="Arial" w:cs="Arial" w:eastAsia="Arial" w:hAnsi="Arial"/>
                <w:sz w:val="14"/>
                <w:szCs w:val="14"/>
                <w:color w:val="auto"/>
              </w:rPr>
              <w:t>528,487</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79"/>
        </w:trPr>
        <w:tc>
          <w:tcPr>
            <w:tcW w:w="60" w:type="dxa"/>
            <w:vAlign w:val="bottom"/>
            <w:shd w:val="clear" w:color="auto" w:fill="F2F2F2"/>
          </w:tcPr>
          <w:p>
            <w:pPr>
              <w:spacing w:after="0"/>
              <w:rPr>
                <w:sz w:val="6"/>
                <w:szCs w:val="6"/>
                <w:color w:val="auto"/>
              </w:rPr>
            </w:pPr>
          </w:p>
        </w:tc>
        <w:tc>
          <w:tcPr>
            <w:tcW w:w="52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380" w:type="dxa"/>
            <w:vAlign w:val="bottom"/>
            <w:shd w:val="clear" w:color="auto" w:fill="F2F2F2"/>
          </w:tcPr>
          <w:p>
            <w:pPr>
              <w:spacing w:after="0"/>
              <w:rPr>
                <w:sz w:val="6"/>
                <w:szCs w:val="6"/>
                <w:color w:val="auto"/>
              </w:rPr>
            </w:pPr>
          </w:p>
        </w:tc>
        <w:tc>
          <w:tcPr>
            <w:tcW w:w="148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1220" w:type="dxa"/>
            <w:vAlign w:val="bottom"/>
            <w:shd w:val="clear" w:color="auto" w:fill="F2F2F2"/>
          </w:tcPr>
          <w:p>
            <w:pPr>
              <w:spacing w:after="0"/>
              <w:rPr>
                <w:sz w:val="6"/>
                <w:szCs w:val="6"/>
                <w:color w:val="auto"/>
              </w:rPr>
            </w:pPr>
          </w:p>
        </w:tc>
        <w:tc>
          <w:tcPr>
            <w:tcW w:w="260" w:type="dxa"/>
            <w:vAlign w:val="bottom"/>
            <w:shd w:val="clear" w:color="auto" w:fill="F2F2F2"/>
          </w:tcPr>
          <w:p>
            <w:pPr>
              <w:spacing w:after="0"/>
              <w:rPr>
                <w:sz w:val="6"/>
                <w:szCs w:val="6"/>
                <w:color w:val="auto"/>
              </w:rPr>
            </w:pPr>
          </w:p>
        </w:tc>
        <w:tc>
          <w:tcPr>
            <w:tcW w:w="380" w:type="dxa"/>
            <w:vAlign w:val="bottom"/>
            <w:shd w:val="clear" w:color="auto" w:fill="F2F2F2"/>
          </w:tcPr>
          <w:p>
            <w:pPr>
              <w:spacing w:after="0"/>
              <w:rPr>
                <w:sz w:val="6"/>
                <w:szCs w:val="6"/>
                <w:color w:val="auto"/>
              </w:rPr>
            </w:pPr>
          </w:p>
        </w:tc>
        <w:tc>
          <w:tcPr>
            <w:tcW w:w="1700" w:type="dxa"/>
            <w:vAlign w:val="bottom"/>
            <w:shd w:val="clear" w:color="auto" w:fill="F2F2F2"/>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16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520" w:type="dxa"/>
            <w:vAlign w:val="bottom"/>
          </w:tcPr>
          <w:p>
            <w:pPr>
              <w:ind w:left="40"/>
              <w:spacing w:after="0"/>
              <w:rPr>
                <w:sz w:val="20"/>
                <w:szCs w:val="20"/>
                <w:color w:val="auto"/>
              </w:rPr>
            </w:pPr>
            <w:r>
              <w:rPr>
                <w:rFonts w:ascii="Arial" w:cs="Arial" w:eastAsia="Arial" w:hAnsi="Arial"/>
                <w:sz w:val="14"/>
                <w:szCs w:val="14"/>
                <w:color w:val="auto"/>
              </w:rPr>
              <w:t>2021</w:t>
            </w:r>
          </w:p>
        </w:tc>
        <w:tc>
          <w:tcPr>
            <w:tcW w:w="340" w:type="dxa"/>
            <w:vAlign w:val="bottom"/>
          </w:tcPr>
          <w:p>
            <w:pPr>
              <w:ind w:left="140"/>
              <w:spacing w:after="0"/>
              <w:rPr>
                <w:sz w:val="20"/>
                <w:szCs w:val="20"/>
                <w:color w:val="auto"/>
              </w:rPr>
            </w:pPr>
            <w:r>
              <w:rPr>
                <w:rFonts w:ascii="Arial" w:cs="Arial" w:eastAsia="Arial" w:hAnsi="Arial"/>
                <w:sz w:val="4"/>
                <w:szCs w:val="4"/>
                <w:color w:val="auto"/>
              </w:rPr>
              <w:t>​</w:t>
            </w:r>
          </w:p>
        </w:tc>
        <w:tc>
          <w:tcPr>
            <w:tcW w:w="380" w:type="dxa"/>
            <w:vAlign w:val="bottom"/>
          </w:tcPr>
          <w:p>
            <w:pPr>
              <w:ind w:left="200"/>
              <w:spacing w:after="0"/>
              <w:rPr>
                <w:sz w:val="20"/>
                <w:szCs w:val="20"/>
                <w:color w:val="auto"/>
              </w:rPr>
            </w:pPr>
            <w:r>
              <w:rPr>
                <w:rFonts w:ascii="Arial" w:cs="Arial" w:eastAsia="Arial" w:hAnsi="Arial"/>
                <w:sz w:val="4"/>
                <w:szCs w:val="4"/>
                <w:color w:val="auto"/>
              </w:rPr>
              <w:t>​</w:t>
            </w:r>
          </w:p>
        </w:tc>
        <w:tc>
          <w:tcPr>
            <w:tcW w:w="1480" w:type="dxa"/>
            <w:vAlign w:val="bottom"/>
          </w:tcPr>
          <w:p>
            <w:pPr>
              <w:jc w:val="center"/>
              <w:ind w:left="171"/>
              <w:spacing w:after="0"/>
              <w:rPr>
                <w:sz w:val="20"/>
                <w:szCs w:val="20"/>
                <w:color w:val="auto"/>
              </w:rPr>
            </w:pPr>
            <w:r>
              <w:rPr>
                <w:rFonts w:ascii="Arial" w:cs="Arial" w:eastAsia="Arial" w:hAnsi="Arial"/>
                <w:sz w:val="14"/>
                <w:szCs w:val="14"/>
                <w:color w:val="auto"/>
              </w:rPr>
              <w:t>2,832,378</w:t>
            </w:r>
          </w:p>
        </w:tc>
        <w:tc>
          <w:tcPr>
            <w:tcW w:w="220" w:type="dxa"/>
            <w:vAlign w:val="bottom"/>
          </w:tcPr>
          <w:p>
            <w:pPr>
              <w:ind w:left="20"/>
              <w:spacing w:after="0"/>
              <w:rPr>
                <w:sz w:val="20"/>
                <w:szCs w:val="20"/>
                <w:color w:val="auto"/>
              </w:rPr>
            </w:pPr>
            <w:r>
              <w:rPr>
                <w:rFonts w:ascii="Arial" w:cs="Arial" w:eastAsia="Arial" w:hAnsi="Arial"/>
                <w:sz w:val="4"/>
                <w:szCs w:val="4"/>
                <w:color w:val="auto"/>
              </w:rPr>
              <w:t>​</w:t>
            </w:r>
          </w:p>
        </w:tc>
        <w:tc>
          <w:tcPr>
            <w:tcW w:w="400" w:type="dxa"/>
            <w:vAlign w:val="bottom"/>
          </w:tcPr>
          <w:p>
            <w:pPr>
              <w:ind w:left="180"/>
              <w:spacing w:after="0"/>
              <w:rPr>
                <w:sz w:val="20"/>
                <w:szCs w:val="20"/>
                <w:color w:val="auto"/>
              </w:rPr>
            </w:pPr>
            <w:r>
              <w:rPr>
                <w:rFonts w:ascii="Arial" w:cs="Arial" w:eastAsia="Arial" w:hAnsi="Arial"/>
                <w:sz w:val="4"/>
                <w:szCs w:val="4"/>
                <w:color w:val="auto"/>
              </w:rPr>
              <w:t>​</w:t>
            </w:r>
          </w:p>
        </w:tc>
        <w:tc>
          <w:tcPr>
            <w:tcW w:w="1220" w:type="dxa"/>
            <w:vAlign w:val="bottom"/>
          </w:tcPr>
          <w:p>
            <w:pPr>
              <w:jc w:val="center"/>
              <w:ind w:left="111"/>
              <w:spacing w:after="0"/>
              <w:rPr>
                <w:sz w:val="20"/>
                <w:szCs w:val="20"/>
                <w:color w:val="auto"/>
              </w:rPr>
            </w:pPr>
            <w:r>
              <w:rPr>
                <w:rFonts w:ascii="Arial" w:cs="Arial" w:eastAsia="Arial" w:hAnsi="Arial"/>
                <w:sz w:val="14"/>
                <w:szCs w:val="14"/>
                <w:color w:val="auto"/>
              </w:rPr>
              <w:t>1,946,253</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380" w:type="dxa"/>
            <w:vAlign w:val="bottom"/>
          </w:tcPr>
          <w:p>
            <w:pPr>
              <w:ind w:left="180"/>
              <w:spacing w:after="0"/>
              <w:rPr>
                <w:sz w:val="20"/>
                <w:szCs w:val="20"/>
                <w:color w:val="auto"/>
              </w:rPr>
            </w:pPr>
            <w:r>
              <w:rPr>
                <w:rFonts w:ascii="Arial" w:cs="Arial" w:eastAsia="Arial" w:hAnsi="Arial"/>
                <w:sz w:val="4"/>
                <w:szCs w:val="4"/>
                <w:color w:val="auto"/>
              </w:rPr>
              <w:t>​</w:t>
            </w:r>
          </w:p>
        </w:tc>
        <w:tc>
          <w:tcPr>
            <w:tcW w:w="1700" w:type="dxa"/>
            <w:vAlign w:val="bottom"/>
          </w:tcPr>
          <w:p>
            <w:pPr>
              <w:jc w:val="right"/>
              <w:ind w:right="392"/>
              <w:spacing w:after="0"/>
              <w:rPr>
                <w:sz w:val="20"/>
                <w:szCs w:val="20"/>
                <w:color w:val="auto"/>
              </w:rPr>
            </w:pPr>
            <w:r>
              <w:rPr>
                <w:rFonts w:ascii="Arial" w:cs="Arial" w:eastAsia="Arial" w:hAnsi="Arial"/>
                <w:sz w:val="14"/>
                <w:szCs w:val="14"/>
                <w:color w:val="auto"/>
              </w:rPr>
              <w:t>375,828</w:t>
            </w:r>
          </w:p>
        </w:tc>
        <w:tc>
          <w:tcPr>
            <w:tcW w:w="220" w:type="dxa"/>
            <w:vAlign w:val="bottom"/>
          </w:tcPr>
          <w:p>
            <w:pPr>
              <w:ind w:left="20"/>
              <w:spacing w:after="0"/>
              <w:rPr>
                <w:sz w:val="20"/>
                <w:szCs w:val="20"/>
                <w:color w:val="auto"/>
              </w:rPr>
            </w:pPr>
            <w:r>
              <w:rPr>
                <w:rFonts w:ascii="Arial" w:cs="Arial" w:eastAsia="Arial" w:hAnsi="Arial"/>
                <w:sz w:val="4"/>
                <w:szCs w:val="4"/>
                <w:color w:val="auto"/>
              </w:rPr>
              <w:t>​</w:t>
            </w:r>
          </w:p>
        </w:tc>
        <w:tc>
          <w:tcPr>
            <w:tcW w:w="400" w:type="dxa"/>
            <w:vAlign w:val="bottom"/>
          </w:tcPr>
          <w:p>
            <w:pPr>
              <w:ind w:left="180"/>
              <w:spacing w:after="0"/>
              <w:rPr>
                <w:sz w:val="20"/>
                <w:szCs w:val="20"/>
                <w:color w:val="auto"/>
              </w:rPr>
            </w:pPr>
            <w:r>
              <w:rPr>
                <w:rFonts w:ascii="Arial" w:cs="Arial" w:eastAsia="Arial" w:hAnsi="Arial"/>
                <w:sz w:val="4"/>
                <w:szCs w:val="4"/>
                <w:color w:val="auto"/>
              </w:rPr>
              <w:t>​</w:t>
            </w:r>
          </w:p>
        </w:tc>
        <w:tc>
          <w:tcPr>
            <w:tcW w:w="1600" w:type="dxa"/>
            <w:vAlign w:val="bottom"/>
          </w:tcPr>
          <w:p>
            <w:pPr>
              <w:jc w:val="right"/>
              <w:ind w:right="291"/>
              <w:spacing w:after="0"/>
              <w:rPr>
                <w:sz w:val="20"/>
                <w:szCs w:val="20"/>
                <w:color w:val="auto"/>
              </w:rPr>
            </w:pPr>
            <w:r>
              <w:rPr>
                <w:rFonts w:ascii="Arial" w:cs="Arial" w:eastAsia="Arial" w:hAnsi="Arial"/>
                <w:sz w:val="14"/>
                <w:szCs w:val="14"/>
                <w:color w:val="auto"/>
              </w:rPr>
              <w:t>1,261,953</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2020</w:t>
            </w:r>
          </w:p>
        </w:tc>
        <w:tc>
          <w:tcPr>
            <w:tcW w:w="3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200"/>
              <w:spacing w:after="0"/>
              <w:rPr>
                <w:sz w:val="20"/>
                <w:szCs w:val="20"/>
                <w:color w:val="auto"/>
              </w:rPr>
            </w:pPr>
            <w:r>
              <w:rPr>
                <w:rFonts w:ascii="Arial" w:cs="Arial" w:eastAsia="Arial" w:hAnsi="Arial"/>
                <w:sz w:val="4"/>
                <w:szCs w:val="4"/>
                <w:color w:val="auto"/>
              </w:rPr>
              <w:t>​</w:t>
            </w:r>
          </w:p>
        </w:tc>
        <w:tc>
          <w:tcPr>
            <w:tcW w:w="1480" w:type="dxa"/>
            <w:vAlign w:val="bottom"/>
            <w:shd w:val="clear" w:color="auto" w:fill="F2F2F2"/>
          </w:tcPr>
          <w:p>
            <w:pPr>
              <w:jc w:val="center"/>
              <w:ind w:left="131"/>
              <w:spacing w:after="0"/>
              <w:rPr>
                <w:sz w:val="20"/>
                <w:szCs w:val="20"/>
                <w:color w:val="auto"/>
              </w:rPr>
            </w:pPr>
            <w:r>
              <w:rPr>
                <w:rFonts w:ascii="Arial" w:cs="Arial" w:eastAsia="Arial" w:hAnsi="Arial"/>
                <w:sz w:val="14"/>
                <w:szCs w:val="14"/>
                <w:color w:val="auto"/>
              </w:rPr>
              <w:t>10,219,177</w:t>
            </w:r>
          </w:p>
        </w:tc>
        <w:tc>
          <w:tcPr>
            <w:tcW w:w="2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220" w:type="dxa"/>
            <w:vAlign w:val="bottom"/>
            <w:shd w:val="clear" w:color="auto" w:fill="F2F2F2"/>
          </w:tcPr>
          <w:p>
            <w:pPr>
              <w:jc w:val="center"/>
              <w:ind w:left="111"/>
              <w:spacing w:after="0"/>
              <w:rPr>
                <w:sz w:val="20"/>
                <w:szCs w:val="20"/>
                <w:color w:val="auto"/>
              </w:rPr>
            </w:pPr>
            <w:r>
              <w:rPr>
                <w:rFonts w:ascii="Arial" w:cs="Arial" w:eastAsia="Arial" w:hAnsi="Arial"/>
                <w:sz w:val="14"/>
                <w:szCs w:val="14"/>
                <w:color w:val="auto"/>
              </w:rPr>
              <w:t>9,424,859</w:t>
            </w:r>
          </w:p>
        </w:tc>
        <w:tc>
          <w:tcPr>
            <w:tcW w:w="26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38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700" w:type="dxa"/>
            <w:vAlign w:val="bottom"/>
            <w:shd w:val="clear" w:color="auto" w:fill="F2F2F2"/>
          </w:tcPr>
          <w:p>
            <w:pPr>
              <w:jc w:val="right"/>
              <w:ind w:right="372"/>
              <w:spacing w:after="0"/>
              <w:rPr>
                <w:sz w:val="20"/>
                <w:szCs w:val="20"/>
                <w:color w:val="auto"/>
              </w:rPr>
            </w:pPr>
            <w:r>
              <w:rPr>
                <w:rFonts w:ascii="Arial" w:cs="Arial" w:eastAsia="Arial" w:hAnsi="Arial"/>
                <w:sz w:val="14"/>
                <w:szCs w:val="14"/>
                <w:color w:val="auto"/>
              </w:rPr>
              <w:t>9,598,164</w:t>
            </w:r>
          </w:p>
        </w:tc>
        <w:tc>
          <w:tcPr>
            <w:tcW w:w="22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400" w:type="dxa"/>
            <w:vAlign w:val="bottom"/>
            <w:shd w:val="clear" w:color="auto" w:fill="F2F2F2"/>
          </w:tcPr>
          <w:p>
            <w:pPr>
              <w:ind w:left="180"/>
              <w:spacing w:after="0"/>
              <w:rPr>
                <w:sz w:val="20"/>
                <w:szCs w:val="20"/>
                <w:color w:val="auto"/>
              </w:rPr>
            </w:pPr>
            <w:r>
              <w:rPr>
                <w:rFonts w:ascii="Arial" w:cs="Arial" w:eastAsia="Arial" w:hAnsi="Arial"/>
                <w:sz w:val="4"/>
                <w:szCs w:val="4"/>
                <w:color w:val="auto"/>
              </w:rPr>
              <w:t>​</w:t>
            </w:r>
          </w:p>
        </w:tc>
        <w:tc>
          <w:tcPr>
            <w:tcW w:w="1600" w:type="dxa"/>
            <w:vAlign w:val="bottom"/>
            <w:shd w:val="clear" w:color="auto" w:fill="F2F2F2"/>
          </w:tcPr>
          <w:p>
            <w:pPr>
              <w:jc w:val="center"/>
              <w:ind w:left="91"/>
              <w:spacing w:after="0"/>
              <w:rPr>
                <w:sz w:val="20"/>
                <w:szCs w:val="20"/>
                <w:color w:val="auto"/>
              </w:rPr>
            </w:pPr>
            <w:r>
              <w:rPr>
                <w:rFonts w:ascii="Arial" w:cs="Arial" w:eastAsia="Arial" w:hAnsi="Arial"/>
                <w:sz w:val="14"/>
                <w:szCs w:val="14"/>
                <w:color w:val="auto"/>
              </w:rPr>
              <w:t>10,392,482</w:t>
            </w:r>
          </w:p>
        </w:tc>
        <w:tc>
          <w:tcPr>
            <w:tcW w:w="140" w:type="dxa"/>
            <w:vAlign w:val="bottom"/>
            <w:shd w:val="clear" w:color="auto" w:fill="F2F2F2"/>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3"/>
        </w:trPr>
        <w:tc>
          <w:tcPr>
            <w:tcW w:w="60" w:type="dxa"/>
            <w:vAlign w:val="bottom"/>
            <w:shd w:val="clear" w:color="auto" w:fill="F2F2F2"/>
          </w:tcPr>
          <w:p>
            <w:pPr>
              <w:spacing w:after="0"/>
              <w:rPr>
                <w:sz w:val="4"/>
                <w:szCs w:val="4"/>
                <w:color w:val="auto"/>
              </w:rPr>
            </w:pPr>
          </w:p>
        </w:tc>
        <w:tc>
          <w:tcPr>
            <w:tcW w:w="520" w:type="dxa"/>
            <w:vAlign w:val="bottom"/>
            <w:shd w:val="clear" w:color="auto" w:fill="F2F2F2"/>
          </w:tcPr>
          <w:p>
            <w:pPr>
              <w:spacing w:after="0"/>
              <w:rPr>
                <w:sz w:val="4"/>
                <w:szCs w:val="4"/>
                <w:color w:val="auto"/>
              </w:rPr>
            </w:pPr>
          </w:p>
        </w:tc>
        <w:tc>
          <w:tcPr>
            <w:tcW w:w="34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48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220" w:type="dxa"/>
            <w:vAlign w:val="bottom"/>
            <w:shd w:val="clear" w:color="auto" w:fill="F2F2F2"/>
          </w:tcPr>
          <w:p>
            <w:pPr>
              <w:spacing w:after="0"/>
              <w:rPr>
                <w:sz w:val="4"/>
                <w:szCs w:val="4"/>
                <w:color w:val="auto"/>
              </w:rPr>
            </w:pPr>
          </w:p>
        </w:tc>
        <w:tc>
          <w:tcPr>
            <w:tcW w:w="26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70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600" w:type="dxa"/>
            <w:vAlign w:val="bottom"/>
            <w:shd w:val="clear" w:color="auto" w:fill="F2F2F2"/>
          </w:tcPr>
          <w:p>
            <w:pPr>
              <w:spacing w:after="0"/>
              <w:rPr>
                <w:sz w:val="4"/>
                <w:szCs w:val="4"/>
                <w:color w:val="auto"/>
              </w:rPr>
            </w:pPr>
          </w:p>
        </w:tc>
        <w:tc>
          <w:tcPr>
            <w:tcW w:w="1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4" w:hanging="244"/>
        <w:spacing w:after="0"/>
        <w:tabs>
          <w:tab w:leader="none" w:pos="604" w:val="left"/>
        </w:tabs>
        <w:numPr>
          <w:ilvl w:val="0"/>
          <w:numId w:val="6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deducted or added in calculating the total average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41910</wp:posOffset>
            </wp:positionV>
            <wp:extent cx="5692140" cy="2040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92140" cy="2040255"/>
                    </a:xfrm>
                    <a:prstGeom prst="rect">
                      <a:avLst/>
                    </a:prstGeom>
                    <a:noFill/>
                  </pic:spPr>
                </pic:pic>
              </a:graphicData>
            </a:graphic>
          </wp:anchor>
        </w:drawing>
      </w:r>
    </w:p>
    <w:p>
      <w:pPr>
        <w:spacing w:after="0" w:line="46" w:lineRule="exact"/>
        <w:rPr>
          <w:sz w:val="20"/>
          <w:szCs w:val="20"/>
          <w:color w:val="auto"/>
        </w:rPr>
      </w:pPr>
    </w:p>
    <w:tbl>
      <w:tblPr>
        <w:tblLayout w:type="fixed"/>
        <w:tblInd w:w="604" w:type="dxa"/>
        <w:tblCellMar>
          <w:top w:w="0" w:type="dxa"/>
          <w:left w:w="0" w:type="dxa"/>
          <w:bottom w:w="0" w:type="dxa"/>
          <w:right w:w="0" w:type="dxa"/>
        </w:tblCellMar>
      </w:tblPr>
      <w:tr>
        <w:trPr>
          <w:trHeight w:val="199"/>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spacing w:after="0"/>
              <w:rPr>
                <w:sz w:val="17"/>
                <w:szCs w:val="17"/>
                <w:color w:val="auto"/>
              </w:rPr>
            </w:pPr>
          </w:p>
        </w:tc>
        <w:tc>
          <w:tcPr>
            <w:tcW w:w="8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w:t>
            </w:r>
          </w:p>
        </w:tc>
        <w:tc>
          <w:tcPr>
            <w:tcW w:w="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(b)</w:t>
            </w:r>
          </w:p>
        </w:tc>
        <w:tc>
          <w:tcPr>
            <w:tcW w:w="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940" w:type="dxa"/>
            <w:vAlign w:val="bottom"/>
            <w:vMerge w:val="restart"/>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(c)</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(d)</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000" w:type="dxa"/>
            <w:vAlign w:val="bottom"/>
            <w:vMerge w:val="restart"/>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(e)</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40" w:type="dxa"/>
            <w:vAlign w:val="bottom"/>
            <w:vMerge w:val="restart"/>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(f)</w:t>
            </w:r>
          </w:p>
        </w:tc>
        <w:tc>
          <w:tcPr>
            <w:tcW w:w="16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spacing w:after="0"/>
              <w:rPr>
                <w:sz w:val="17"/>
                <w:szCs w:val="17"/>
                <w:color w:val="auto"/>
              </w:rPr>
            </w:pPr>
          </w:p>
        </w:tc>
        <w:tc>
          <w:tcPr>
            <w:tcW w:w="880" w:type="dxa"/>
            <w:vAlign w:val="bottom"/>
            <w:shd w:val="clear" w:color="auto" w:fill="0063A6"/>
          </w:tcPr>
          <w:p>
            <w:pPr>
              <w:spacing w:after="0"/>
              <w:rPr>
                <w:sz w:val="17"/>
                <w:szCs w:val="17"/>
                <w:color w:val="auto"/>
              </w:rPr>
            </w:pPr>
          </w:p>
        </w:tc>
        <w:tc>
          <w:tcPr>
            <w:tcW w:w="100" w:type="dxa"/>
            <w:vAlign w:val="bottom"/>
            <w:shd w:val="clear" w:color="auto" w:fill="0063A6"/>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shd w:val="clear" w:color="auto" w:fill="0063A6"/>
          </w:tcPr>
          <w:p>
            <w:pPr>
              <w:spacing w:after="0"/>
              <w:rPr>
                <w:sz w:val="6"/>
                <w:szCs w:val="6"/>
                <w:color w:val="auto"/>
              </w:rPr>
            </w:pPr>
          </w:p>
        </w:tc>
        <w:tc>
          <w:tcPr>
            <w:tcW w:w="60" w:type="dxa"/>
            <w:vAlign w:val="bottom"/>
            <w:shd w:val="clear" w:color="auto" w:fill="0063A6"/>
          </w:tcPr>
          <w:p>
            <w:pPr>
              <w:spacing w:after="0"/>
              <w:rPr>
                <w:sz w:val="6"/>
                <w:szCs w:val="6"/>
                <w:color w:val="auto"/>
              </w:rPr>
            </w:pPr>
          </w:p>
        </w:tc>
        <w:tc>
          <w:tcPr>
            <w:tcW w:w="800" w:type="dxa"/>
            <w:vAlign w:val="bottom"/>
            <w:vMerge w:val="continue"/>
            <w:shd w:val="clear" w:color="auto" w:fill="0063A6"/>
          </w:tcPr>
          <w:p>
            <w:pPr>
              <w:spacing w:after="0"/>
              <w:rPr>
                <w:sz w:val="6"/>
                <w:szCs w:val="6"/>
                <w:color w:val="auto"/>
              </w:rPr>
            </w:pPr>
          </w:p>
        </w:tc>
        <w:tc>
          <w:tcPr>
            <w:tcW w:w="8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940" w:type="dxa"/>
            <w:vAlign w:val="bottom"/>
            <w:vMerge w:val="continue"/>
            <w:shd w:val="clear" w:color="auto" w:fill="0063A6"/>
          </w:tcPr>
          <w:p>
            <w:pPr>
              <w:spacing w:after="0"/>
              <w:rPr>
                <w:sz w:val="6"/>
                <w:szCs w:val="6"/>
                <w:color w:val="auto"/>
              </w:rPr>
            </w:pPr>
          </w:p>
        </w:tc>
        <w:tc>
          <w:tcPr>
            <w:tcW w:w="8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940" w:type="dxa"/>
            <w:vAlign w:val="bottom"/>
            <w:vMerge w:val="continue"/>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120" w:type="dxa"/>
            <w:vAlign w:val="bottom"/>
            <w:shd w:val="clear" w:color="auto" w:fill="0063A6"/>
          </w:tcPr>
          <w:p>
            <w:pPr>
              <w:spacing w:after="0"/>
              <w:rPr>
                <w:sz w:val="6"/>
                <w:szCs w:val="6"/>
                <w:color w:val="auto"/>
              </w:rPr>
            </w:pPr>
          </w:p>
        </w:tc>
        <w:tc>
          <w:tcPr>
            <w:tcW w:w="940" w:type="dxa"/>
            <w:vAlign w:val="bottom"/>
            <w:vMerge w:val="continue"/>
            <w:shd w:val="clear" w:color="auto" w:fill="0063A6"/>
          </w:tcPr>
          <w:p>
            <w:pPr>
              <w:spacing w:after="0"/>
              <w:rPr>
                <w:sz w:val="6"/>
                <w:szCs w:val="6"/>
                <w:color w:val="auto"/>
              </w:rPr>
            </w:pPr>
          </w:p>
        </w:tc>
        <w:tc>
          <w:tcPr>
            <w:tcW w:w="60" w:type="dxa"/>
            <w:vAlign w:val="bottom"/>
            <w:shd w:val="clear" w:color="auto" w:fill="0063A6"/>
          </w:tcPr>
          <w:p>
            <w:pPr>
              <w:spacing w:after="0"/>
              <w:rPr>
                <w:sz w:val="6"/>
                <w:szCs w:val="6"/>
                <w:color w:val="auto"/>
              </w:rPr>
            </w:pPr>
          </w:p>
        </w:tc>
        <w:tc>
          <w:tcPr>
            <w:tcW w:w="160" w:type="dxa"/>
            <w:vAlign w:val="bottom"/>
            <w:shd w:val="clear" w:color="auto" w:fill="0063A6"/>
          </w:tcPr>
          <w:p>
            <w:pPr>
              <w:spacing w:after="0"/>
              <w:rPr>
                <w:sz w:val="6"/>
                <w:szCs w:val="6"/>
                <w:color w:val="auto"/>
              </w:rPr>
            </w:pPr>
          </w:p>
        </w:tc>
        <w:tc>
          <w:tcPr>
            <w:tcW w:w="1000" w:type="dxa"/>
            <w:vAlign w:val="bottom"/>
            <w:vMerge w:val="continue"/>
            <w:shd w:val="clear" w:color="auto" w:fill="0063A6"/>
          </w:tcPr>
          <w:p>
            <w:pPr>
              <w:spacing w:after="0"/>
              <w:rPr>
                <w:sz w:val="6"/>
                <w:szCs w:val="6"/>
                <w:color w:val="auto"/>
              </w:rPr>
            </w:pPr>
          </w:p>
        </w:tc>
        <w:tc>
          <w:tcPr>
            <w:tcW w:w="12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1140" w:type="dxa"/>
            <w:vAlign w:val="bottom"/>
            <w:vMerge w:val="continue"/>
            <w:shd w:val="clear" w:color="auto" w:fill="0063A6"/>
          </w:tcPr>
          <w:p>
            <w:pPr>
              <w:spacing w:after="0"/>
              <w:rPr>
                <w:sz w:val="6"/>
                <w:szCs w:val="6"/>
                <w:color w:val="auto"/>
              </w:rPr>
            </w:pPr>
          </w:p>
        </w:tc>
        <w:tc>
          <w:tcPr>
            <w:tcW w:w="160" w:type="dxa"/>
            <w:vAlign w:val="bottom"/>
            <w:shd w:val="clear" w:color="auto" w:fill="0063A6"/>
          </w:tcPr>
          <w:p>
            <w:pPr>
              <w:spacing w:after="0"/>
              <w:rPr>
                <w:sz w:val="6"/>
                <w:szCs w:val="6"/>
                <w:color w:val="auto"/>
              </w:rPr>
            </w:pPr>
          </w:p>
        </w:tc>
        <w:tc>
          <w:tcPr>
            <w:tcW w:w="60" w:type="dxa"/>
            <w:vAlign w:val="bottom"/>
            <w:shd w:val="clear" w:color="auto" w:fill="0063A6"/>
          </w:tcPr>
          <w:p>
            <w:pPr>
              <w:spacing w:after="0"/>
              <w:rPr>
                <w:sz w:val="6"/>
                <w:szCs w:val="6"/>
                <w:color w:val="auto"/>
              </w:rPr>
            </w:pPr>
          </w:p>
        </w:tc>
        <w:tc>
          <w:tcPr>
            <w:tcW w:w="88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800" w:type="dxa"/>
            <w:vAlign w:val="bottom"/>
            <w:shd w:val="clear" w:color="auto" w:fill="0063A6"/>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940" w:type="dxa"/>
            <w:vAlign w:val="bottom"/>
            <w:shd w:val="clear" w:color="auto" w:fill="0063A6"/>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94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120" w:type="dxa"/>
            <w:vAlign w:val="bottom"/>
            <w:shd w:val="clear" w:color="auto" w:fill="0063A6"/>
          </w:tcPr>
          <w:p>
            <w:pPr>
              <w:spacing w:after="0"/>
              <w:rPr>
                <w:sz w:val="7"/>
                <w:szCs w:val="7"/>
                <w:color w:val="auto"/>
              </w:rPr>
            </w:pPr>
          </w:p>
        </w:tc>
        <w:tc>
          <w:tcPr>
            <w:tcW w:w="940" w:type="dxa"/>
            <w:vAlign w:val="bottom"/>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160" w:type="dxa"/>
            <w:vAlign w:val="bottom"/>
            <w:shd w:val="clear" w:color="auto" w:fill="0063A6"/>
          </w:tcPr>
          <w:p>
            <w:pPr>
              <w:spacing w:after="0"/>
              <w:rPr>
                <w:sz w:val="7"/>
                <w:szCs w:val="7"/>
                <w:color w:val="auto"/>
              </w:rPr>
            </w:pPr>
          </w:p>
        </w:tc>
        <w:tc>
          <w:tcPr>
            <w:tcW w:w="10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Fair</w:t>
            </w:r>
          </w:p>
        </w:tc>
        <w:tc>
          <w:tcPr>
            <w:tcW w:w="12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1140" w:type="dxa"/>
            <w:vAlign w:val="bottom"/>
            <w:shd w:val="clear" w:color="auto" w:fill="0063A6"/>
          </w:tcPr>
          <w:p>
            <w:pPr>
              <w:spacing w:after="0"/>
              <w:rPr>
                <w:sz w:val="7"/>
                <w:szCs w:val="7"/>
                <w:color w:val="auto"/>
              </w:rPr>
            </w:pPr>
          </w:p>
        </w:tc>
        <w:tc>
          <w:tcPr>
            <w:tcW w:w="160" w:type="dxa"/>
            <w:vAlign w:val="bottom"/>
            <w:shd w:val="clear" w:color="auto" w:fill="0063A6"/>
          </w:tcPr>
          <w:p>
            <w:pPr>
              <w:spacing w:after="0"/>
              <w:rPr>
                <w:sz w:val="7"/>
                <w:szCs w:val="7"/>
                <w:color w:val="auto"/>
              </w:rPr>
            </w:pPr>
          </w:p>
        </w:tc>
        <w:tc>
          <w:tcPr>
            <w:tcW w:w="60" w:type="dxa"/>
            <w:vAlign w:val="bottom"/>
            <w:shd w:val="clear" w:color="auto" w:fill="0063A6"/>
          </w:tcPr>
          <w:p>
            <w:pPr>
              <w:spacing w:after="0"/>
              <w:rPr>
                <w:sz w:val="7"/>
                <w:szCs w:val="7"/>
                <w:color w:val="auto"/>
              </w:rPr>
            </w:pPr>
          </w:p>
        </w:tc>
        <w:tc>
          <w:tcPr>
            <w:tcW w:w="88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shd w:val="clear" w:color="auto" w:fill="0063A6"/>
          </w:tcPr>
          <w:p>
            <w:pPr>
              <w:spacing w:after="0"/>
              <w:rPr>
                <w:sz w:val="19"/>
                <w:szCs w:val="19"/>
                <w:color w:val="auto"/>
              </w:rPr>
            </w:pPr>
          </w:p>
        </w:tc>
        <w:tc>
          <w:tcPr>
            <w:tcW w:w="80" w:type="dxa"/>
            <w:vAlign w:val="bottom"/>
            <w:shd w:val="clear" w:color="auto" w:fill="0063A6"/>
          </w:tcPr>
          <w:p>
            <w:pPr>
              <w:spacing w:after="0"/>
              <w:rPr>
                <w:sz w:val="19"/>
                <w:szCs w:val="19"/>
                <w:color w:val="auto"/>
              </w:rPr>
            </w:pPr>
          </w:p>
        </w:tc>
        <w:tc>
          <w:tcPr>
            <w:tcW w:w="140" w:type="dxa"/>
            <w:vAlign w:val="bottom"/>
            <w:shd w:val="clear" w:color="auto" w:fill="0063A6"/>
          </w:tcPr>
          <w:p>
            <w:pPr>
              <w:spacing w:after="0"/>
              <w:rPr>
                <w:sz w:val="19"/>
                <w:szCs w:val="19"/>
                <w:color w:val="auto"/>
              </w:rPr>
            </w:pPr>
          </w:p>
        </w:tc>
        <w:tc>
          <w:tcPr>
            <w:tcW w:w="940" w:type="dxa"/>
            <w:vAlign w:val="bottom"/>
            <w:shd w:val="clear" w:color="auto" w:fill="0063A6"/>
          </w:tcPr>
          <w:p>
            <w:pPr>
              <w:spacing w:after="0"/>
              <w:rPr>
                <w:sz w:val="19"/>
                <w:szCs w:val="19"/>
                <w:color w:val="auto"/>
              </w:rPr>
            </w:pPr>
          </w:p>
        </w:tc>
        <w:tc>
          <w:tcPr>
            <w:tcW w:w="80" w:type="dxa"/>
            <w:vAlign w:val="bottom"/>
            <w:shd w:val="clear" w:color="auto" w:fill="0063A6"/>
          </w:tcPr>
          <w:p>
            <w:pPr>
              <w:spacing w:after="0"/>
              <w:rPr>
                <w:sz w:val="19"/>
                <w:szCs w:val="19"/>
                <w:color w:val="auto"/>
              </w:rPr>
            </w:pPr>
          </w:p>
        </w:tc>
        <w:tc>
          <w:tcPr>
            <w:tcW w:w="140" w:type="dxa"/>
            <w:vAlign w:val="bottom"/>
            <w:shd w:val="clear" w:color="auto" w:fill="0063A6"/>
          </w:tcPr>
          <w:p>
            <w:pPr>
              <w:spacing w:after="0"/>
              <w:rPr>
                <w:sz w:val="19"/>
                <w:szCs w:val="19"/>
                <w:color w:val="auto"/>
              </w:rPr>
            </w:pPr>
          </w:p>
        </w:tc>
        <w:tc>
          <w:tcPr>
            <w:tcW w:w="940" w:type="dxa"/>
            <w:vAlign w:val="bottom"/>
            <w:shd w:val="clear" w:color="auto" w:fill="0063A6"/>
          </w:tcPr>
          <w:p>
            <w:pPr>
              <w:spacing w:after="0"/>
              <w:rPr>
                <w:sz w:val="19"/>
                <w:szCs w:val="19"/>
                <w:color w:val="auto"/>
              </w:rPr>
            </w:pPr>
          </w:p>
        </w:tc>
        <w:tc>
          <w:tcPr>
            <w:tcW w:w="100" w:type="dxa"/>
            <w:vAlign w:val="bottom"/>
            <w:shd w:val="clear" w:color="auto" w:fill="0063A6"/>
          </w:tcPr>
          <w:p>
            <w:pPr>
              <w:spacing w:after="0"/>
              <w:rPr>
                <w:sz w:val="19"/>
                <w:szCs w:val="19"/>
                <w:color w:val="auto"/>
              </w:rPr>
            </w:pPr>
          </w:p>
        </w:tc>
        <w:tc>
          <w:tcPr>
            <w:tcW w:w="120" w:type="dxa"/>
            <w:vAlign w:val="bottom"/>
            <w:shd w:val="clear" w:color="auto" w:fill="0063A6"/>
          </w:tcPr>
          <w:p>
            <w:pPr>
              <w:spacing w:after="0"/>
              <w:rPr>
                <w:sz w:val="19"/>
                <w:szCs w:val="19"/>
                <w:color w:val="auto"/>
              </w:rPr>
            </w:pPr>
          </w:p>
        </w:tc>
        <w:tc>
          <w:tcPr>
            <w:tcW w:w="940" w:type="dxa"/>
            <w:vAlign w:val="bottom"/>
            <w:shd w:val="clear" w:color="auto" w:fill="0063A6"/>
          </w:tcPr>
          <w:p>
            <w:pPr>
              <w:spacing w:after="0"/>
              <w:rPr>
                <w:sz w:val="19"/>
                <w:szCs w:val="19"/>
                <w:color w:val="auto"/>
              </w:rPr>
            </w:pPr>
          </w:p>
        </w:tc>
        <w:tc>
          <w:tcPr>
            <w:tcW w:w="60" w:type="dxa"/>
            <w:vAlign w:val="bottom"/>
            <w:shd w:val="clear" w:color="auto" w:fill="0063A6"/>
          </w:tcPr>
          <w:p>
            <w:pPr>
              <w:spacing w:after="0"/>
              <w:rPr>
                <w:sz w:val="19"/>
                <w:szCs w:val="19"/>
                <w:color w:val="auto"/>
              </w:rPr>
            </w:pPr>
          </w:p>
        </w:tc>
        <w:tc>
          <w:tcPr>
            <w:tcW w:w="160" w:type="dxa"/>
            <w:vAlign w:val="bottom"/>
            <w:shd w:val="clear" w:color="auto" w:fill="0063A6"/>
          </w:tcPr>
          <w:p>
            <w:pPr>
              <w:spacing w:after="0"/>
              <w:rPr>
                <w:sz w:val="19"/>
                <w:szCs w:val="19"/>
                <w:color w:val="auto"/>
              </w:rPr>
            </w:pPr>
          </w:p>
        </w:tc>
        <w:tc>
          <w:tcPr>
            <w:tcW w:w="1000" w:type="dxa"/>
            <w:vAlign w:val="bottom"/>
            <w:vMerge w:val="continue"/>
            <w:shd w:val="clear" w:color="auto" w:fill="0063A6"/>
          </w:tcPr>
          <w:p>
            <w:pPr>
              <w:spacing w:after="0"/>
              <w:rPr>
                <w:sz w:val="19"/>
                <w:szCs w:val="19"/>
                <w:color w:val="auto"/>
              </w:rPr>
            </w:pPr>
          </w:p>
        </w:tc>
        <w:tc>
          <w:tcPr>
            <w:tcW w:w="120" w:type="dxa"/>
            <w:vAlign w:val="bottom"/>
            <w:shd w:val="clear" w:color="auto" w:fill="0063A6"/>
          </w:tcPr>
          <w:p>
            <w:pPr>
              <w:spacing w:after="0"/>
              <w:rPr>
                <w:sz w:val="19"/>
                <w:szCs w:val="19"/>
                <w:color w:val="auto"/>
              </w:rPr>
            </w:pPr>
          </w:p>
        </w:tc>
        <w:tc>
          <w:tcPr>
            <w:tcW w:w="140" w:type="dxa"/>
            <w:vAlign w:val="bottom"/>
            <w:shd w:val="clear" w:color="auto" w:fill="0063A6"/>
          </w:tcPr>
          <w:p>
            <w:pPr>
              <w:spacing w:after="0"/>
              <w:rPr>
                <w:sz w:val="19"/>
                <w:szCs w:val="19"/>
                <w:color w:val="auto"/>
              </w:rPr>
            </w:pPr>
          </w:p>
        </w:tc>
        <w:tc>
          <w:tcPr>
            <w:tcW w:w="1140" w:type="dxa"/>
            <w:vAlign w:val="bottom"/>
            <w:shd w:val="clear" w:color="auto" w:fill="0063A6"/>
          </w:tcPr>
          <w:p>
            <w:pPr>
              <w:spacing w:after="0"/>
              <w:rPr>
                <w:sz w:val="19"/>
                <w:szCs w:val="19"/>
                <w:color w:val="auto"/>
              </w:rPr>
            </w:pPr>
          </w:p>
        </w:tc>
        <w:tc>
          <w:tcPr>
            <w:tcW w:w="160" w:type="dxa"/>
            <w:vAlign w:val="bottom"/>
            <w:shd w:val="clear" w:color="auto" w:fill="0063A6"/>
          </w:tcPr>
          <w:p>
            <w:pPr>
              <w:spacing w:after="0"/>
              <w:rPr>
                <w:sz w:val="19"/>
                <w:szCs w:val="19"/>
                <w:color w:val="auto"/>
              </w:rPr>
            </w:pPr>
          </w:p>
        </w:tc>
        <w:tc>
          <w:tcPr>
            <w:tcW w:w="60" w:type="dxa"/>
            <w:vAlign w:val="bottom"/>
            <w:shd w:val="clear" w:color="auto" w:fill="0063A6"/>
          </w:tcPr>
          <w:p>
            <w:pPr>
              <w:spacing w:after="0"/>
              <w:rPr>
                <w:sz w:val="19"/>
                <w:szCs w:val="19"/>
                <w:color w:val="auto"/>
              </w:rPr>
            </w:pPr>
          </w:p>
        </w:tc>
        <w:tc>
          <w:tcPr>
            <w:tcW w:w="880" w:type="dxa"/>
            <w:vAlign w:val="bottom"/>
            <w:shd w:val="clear" w:color="auto" w:fill="0063A6"/>
          </w:tcPr>
          <w:p>
            <w:pPr>
              <w:spacing w:after="0"/>
              <w:rPr>
                <w:sz w:val="19"/>
                <w:szCs w:val="19"/>
                <w:color w:val="auto"/>
              </w:rPr>
            </w:pPr>
          </w:p>
        </w:tc>
        <w:tc>
          <w:tcPr>
            <w:tcW w:w="10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at the</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Value of</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End</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Dividends or</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as of Vesting</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of the Prior</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 Earnings</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40" w:type="dxa"/>
            <w:vAlign w:val="bottom"/>
          </w:tcPr>
          <w:p>
            <w:pPr>
              <w:spacing w:after="0"/>
              <w:rPr>
                <w:sz w:val="7"/>
                <w:szCs w:val="7"/>
                <w:color w:val="auto"/>
              </w:rPr>
            </w:pP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shd w:val="clear" w:color="auto" w:fill="0063A6"/>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8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Date of</w:t>
            </w:r>
          </w:p>
        </w:tc>
        <w:tc>
          <w:tcPr>
            <w:tcW w:w="100" w:type="dxa"/>
            <w:vAlign w:val="bottom"/>
            <w:shd w:val="clear" w:color="auto" w:fill="0063A6"/>
          </w:tcPr>
          <w:p>
            <w:pPr>
              <w:spacing w:after="0"/>
              <w:rPr>
                <w:sz w:val="7"/>
                <w:szCs w:val="7"/>
                <w:color w:val="auto"/>
              </w:rPr>
            </w:pPr>
          </w:p>
        </w:tc>
        <w:tc>
          <w:tcPr>
            <w:tcW w:w="120" w:type="dxa"/>
            <w:vAlign w:val="bottom"/>
            <w:shd w:val="clear" w:color="auto" w:fill="0063A6"/>
          </w:tcPr>
          <w:p>
            <w:pPr>
              <w:spacing w:after="0"/>
              <w:rPr>
                <w:sz w:val="7"/>
                <w:szCs w:val="7"/>
                <w:color w:val="auto"/>
              </w:rPr>
            </w:pPr>
          </w:p>
        </w:tc>
        <w:tc>
          <w:tcPr>
            <w:tcW w:w="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60" w:type="dxa"/>
            <w:vAlign w:val="bottom"/>
            <w:shd w:val="clear" w:color="auto" w:fill="0063A6"/>
          </w:tcPr>
          <w:p>
            <w:pPr>
              <w:spacing w:after="0"/>
              <w:rPr>
                <w:sz w:val="7"/>
                <w:szCs w:val="7"/>
                <w:color w:val="auto"/>
              </w:rPr>
            </w:pPr>
          </w:p>
        </w:tc>
        <w:tc>
          <w:tcPr>
            <w:tcW w:w="160" w:type="dxa"/>
            <w:vAlign w:val="bottom"/>
            <w:shd w:val="clear" w:color="auto" w:fill="0063A6"/>
          </w:tcPr>
          <w:p>
            <w:pPr>
              <w:spacing w:after="0"/>
              <w:rPr>
                <w:sz w:val="7"/>
                <w:szCs w:val="7"/>
                <w:color w:val="auto"/>
              </w:rPr>
            </w:pPr>
          </w:p>
        </w:tc>
        <w:tc>
          <w:tcPr>
            <w:tcW w:w="10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20" w:type="dxa"/>
            <w:vAlign w:val="bottom"/>
            <w:shd w:val="clear" w:color="auto" w:fill="0063A6"/>
          </w:tcPr>
          <w:p>
            <w:pPr>
              <w:spacing w:after="0"/>
              <w:rPr>
                <w:sz w:val="7"/>
                <w:szCs w:val="7"/>
                <w:color w:val="auto"/>
              </w:rPr>
            </w:pPr>
          </w:p>
        </w:tc>
        <w:tc>
          <w:tcPr>
            <w:tcW w:w="140" w:type="dxa"/>
            <w:vAlign w:val="bottom"/>
            <w:shd w:val="clear" w:color="auto" w:fill="0063A6"/>
          </w:tcPr>
          <w:p>
            <w:pPr>
              <w:spacing w:after="0"/>
              <w:rPr>
                <w:sz w:val="7"/>
                <w:szCs w:val="7"/>
                <w:color w:val="auto"/>
              </w:rPr>
            </w:pPr>
          </w:p>
        </w:tc>
        <w:tc>
          <w:tcPr>
            <w:tcW w:w="11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60" w:type="dxa"/>
            <w:vAlign w:val="bottom"/>
            <w:shd w:val="clear" w:color="auto" w:fill="0063A6"/>
          </w:tcPr>
          <w:p>
            <w:pPr>
              <w:spacing w:after="0"/>
              <w:rPr>
                <w:sz w:val="7"/>
                <w:szCs w:val="7"/>
                <w:color w:val="auto"/>
              </w:rPr>
            </w:pP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880" w:type="dxa"/>
            <w:vAlign w:val="bottom"/>
            <w:shd w:val="clear" w:color="auto" w:fill="0063A6"/>
          </w:tcPr>
          <w:p>
            <w:pPr>
              <w:spacing w:after="0"/>
              <w:rPr>
                <w:sz w:val="7"/>
                <w:szCs w:val="7"/>
                <w:color w:val="auto"/>
              </w:rPr>
            </w:pP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940" w:type="dxa"/>
            <w:vAlign w:val="bottom"/>
            <w:vMerge w:val="continue"/>
            <w:shd w:val="clear" w:color="auto" w:fill="0063A6"/>
          </w:tcPr>
          <w:p>
            <w:pPr>
              <w:spacing w:after="0"/>
              <w:rPr>
                <w:sz w:val="5"/>
                <w:szCs w:val="5"/>
                <w:color w:val="auto"/>
              </w:rPr>
            </w:pPr>
          </w:p>
        </w:tc>
        <w:tc>
          <w:tcPr>
            <w:tcW w:w="8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940" w:type="dxa"/>
            <w:vAlign w:val="bottom"/>
            <w:vMerge w:val="continue"/>
            <w:shd w:val="clear" w:color="auto" w:fill="0063A6"/>
          </w:tcPr>
          <w:p>
            <w:pPr>
              <w:spacing w:after="0"/>
              <w:rPr>
                <w:sz w:val="5"/>
                <w:szCs w:val="5"/>
                <w:color w:val="auto"/>
              </w:rPr>
            </w:pPr>
          </w:p>
        </w:tc>
        <w:tc>
          <w:tcPr>
            <w:tcW w:w="100" w:type="dxa"/>
            <w:vAlign w:val="bottom"/>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940" w:type="dxa"/>
            <w:vAlign w:val="bottom"/>
            <w:vMerge w:val="continue"/>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160" w:type="dxa"/>
            <w:vAlign w:val="bottom"/>
            <w:shd w:val="clear" w:color="auto" w:fill="0063A6"/>
          </w:tcPr>
          <w:p>
            <w:pPr>
              <w:spacing w:after="0"/>
              <w:rPr>
                <w:sz w:val="5"/>
                <w:szCs w:val="5"/>
                <w:color w:val="auto"/>
              </w:rPr>
            </w:pPr>
          </w:p>
        </w:tc>
        <w:tc>
          <w:tcPr>
            <w:tcW w:w="1000" w:type="dxa"/>
            <w:vAlign w:val="bottom"/>
            <w:vMerge w:val="continue"/>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140" w:type="dxa"/>
            <w:vAlign w:val="bottom"/>
            <w:shd w:val="clear" w:color="auto" w:fill="0063A6"/>
          </w:tcPr>
          <w:p>
            <w:pPr>
              <w:spacing w:after="0"/>
              <w:rPr>
                <w:sz w:val="5"/>
                <w:szCs w:val="5"/>
                <w:color w:val="auto"/>
              </w:rPr>
            </w:pPr>
          </w:p>
        </w:tc>
        <w:tc>
          <w:tcPr>
            <w:tcW w:w="1140" w:type="dxa"/>
            <w:vAlign w:val="bottom"/>
            <w:vMerge w:val="continue"/>
            <w:shd w:val="clear" w:color="auto" w:fill="0063A6"/>
          </w:tcPr>
          <w:p>
            <w:pPr>
              <w:spacing w:after="0"/>
              <w:rPr>
                <w:sz w:val="5"/>
                <w:szCs w:val="5"/>
                <w:color w:val="auto"/>
              </w:rPr>
            </w:pPr>
          </w:p>
        </w:tc>
        <w:tc>
          <w:tcPr>
            <w:tcW w:w="160" w:type="dxa"/>
            <w:vAlign w:val="bottom"/>
            <w:shd w:val="clear" w:color="auto" w:fill="0063A6"/>
          </w:tcPr>
          <w:p>
            <w:pPr>
              <w:spacing w:after="0"/>
              <w:rPr>
                <w:sz w:val="5"/>
                <w:szCs w:val="5"/>
                <w:color w:val="auto"/>
              </w:rPr>
            </w:pPr>
          </w:p>
        </w:tc>
        <w:tc>
          <w:tcPr>
            <w:tcW w:w="60" w:type="dxa"/>
            <w:vAlign w:val="bottom"/>
            <w:shd w:val="clear" w:color="auto" w:fill="0063A6"/>
          </w:tcPr>
          <w:p>
            <w:pPr>
              <w:spacing w:after="0"/>
              <w:rPr>
                <w:sz w:val="5"/>
                <w:szCs w:val="5"/>
                <w:color w:val="auto"/>
              </w:rPr>
            </w:pPr>
          </w:p>
        </w:tc>
        <w:tc>
          <w:tcPr>
            <w:tcW w:w="8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0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12"/>
                <w:szCs w:val="12"/>
                <w:color w:val="auto"/>
              </w:rPr>
            </w:pPr>
          </w:p>
        </w:tc>
        <w:tc>
          <w:tcPr>
            <w:tcW w:w="80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Change in</w:t>
            </w:r>
          </w:p>
        </w:tc>
        <w:tc>
          <w:tcPr>
            <w:tcW w:w="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jc w:val="center"/>
              <w:ind w:left="12"/>
              <w:spacing w:after="0" w:line="138" w:lineRule="exact"/>
              <w:rPr>
                <w:sz w:val="20"/>
                <w:szCs w:val="20"/>
                <w:color w:val="auto"/>
              </w:rPr>
            </w:pPr>
            <w:r>
              <w:rPr>
                <w:rFonts w:ascii="Arial" w:cs="Arial" w:eastAsia="Arial" w:hAnsi="Arial"/>
                <w:sz w:val="13"/>
                <w:szCs w:val="13"/>
                <w:b w:val="1"/>
                <w:bCs w:val="1"/>
                <w:color w:val="FFFFFF"/>
              </w:rPr>
              <w:t>Equity</w:t>
            </w:r>
          </w:p>
        </w:tc>
        <w:tc>
          <w:tcPr>
            <w:tcW w:w="10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Equity</w:t>
            </w:r>
          </w:p>
        </w:tc>
        <w:tc>
          <w:tcPr>
            <w:tcW w:w="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6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000" w:type="dxa"/>
            <w:vAlign w:val="bottom"/>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of Equity</w:t>
            </w:r>
          </w:p>
        </w:tc>
        <w:tc>
          <w:tcPr>
            <w:tcW w:w="12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1140" w:type="dxa"/>
            <w:vAlign w:val="bottom"/>
            <w:shd w:val="clear" w:color="auto" w:fill="0063A6"/>
          </w:tcPr>
          <w:p>
            <w:pPr>
              <w:jc w:val="center"/>
              <w:spacing w:after="0" w:line="138" w:lineRule="exact"/>
              <w:rPr>
                <w:sz w:val="20"/>
                <w:szCs w:val="20"/>
                <w:color w:val="auto"/>
              </w:rPr>
            </w:pPr>
            <w:r>
              <w:rPr>
                <w:rFonts w:ascii="Arial" w:cs="Arial" w:eastAsia="Arial" w:hAnsi="Arial"/>
                <w:sz w:val="13"/>
                <w:szCs w:val="13"/>
                <w:b w:val="1"/>
                <w:bCs w:val="1"/>
                <w:color w:val="FFFFFF"/>
              </w:rPr>
              <w:t>Option Awards</w:t>
            </w:r>
          </w:p>
        </w:tc>
        <w:tc>
          <w:tcPr>
            <w:tcW w:w="160" w:type="dxa"/>
            <w:vAlign w:val="bottom"/>
            <w:shd w:val="clear" w:color="auto" w:fill="0063A6"/>
          </w:tcPr>
          <w:p>
            <w:pPr>
              <w:ind w:left="40"/>
              <w:spacing w:after="0"/>
              <w:rPr>
                <w:sz w:val="20"/>
                <w:szCs w:val="20"/>
                <w:color w:val="auto"/>
              </w:rPr>
            </w:pPr>
            <w:r>
              <w:rPr>
                <w:rFonts w:ascii="Arial" w:cs="Arial" w:eastAsia="Arial" w:hAnsi="Arial"/>
                <w:sz w:val="4"/>
                <w:szCs w:val="4"/>
                <w:color w:val="auto"/>
              </w:rPr>
              <w:t>​</w:t>
            </w:r>
          </w:p>
        </w:tc>
        <w:tc>
          <w:tcPr>
            <w:tcW w:w="60" w:type="dxa"/>
            <w:vAlign w:val="bottom"/>
            <w:shd w:val="clear" w:color="auto" w:fill="0063A6"/>
          </w:tcPr>
          <w:p>
            <w:pPr>
              <w:spacing w:after="0"/>
              <w:rPr>
                <w:sz w:val="12"/>
                <w:szCs w:val="12"/>
                <w:color w:val="auto"/>
              </w:rPr>
            </w:pPr>
          </w:p>
        </w:tc>
        <w:tc>
          <w:tcPr>
            <w:tcW w:w="880" w:type="dxa"/>
            <w:vAlign w:val="bottom"/>
            <w:vMerge w:val="continue"/>
            <w:shd w:val="clear" w:color="auto" w:fill="0063A6"/>
          </w:tcPr>
          <w:p>
            <w:pPr>
              <w:spacing w:after="0"/>
              <w:rPr>
                <w:sz w:val="12"/>
                <w:szCs w:val="12"/>
                <w:color w:val="auto"/>
              </w:rPr>
            </w:pP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not Otherwise</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Vested</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8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the</w:t>
            </w:r>
          </w:p>
        </w:tc>
        <w:tc>
          <w:tcPr>
            <w:tcW w:w="100" w:type="dxa"/>
            <w:vAlign w:val="bottom"/>
            <w:shd w:val="clear" w:color="auto" w:fill="0063A6"/>
          </w:tcPr>
          <w:p>
            <w:pPr>
              <w:spacing w:after="0"/>
              <w:rPr>
                <w:sz w:val="12"/>
                <w:szCs w:val="12"/>
                <w:color w:val="auto"/>
              </w:rPr>
            </w:pPr>
          </w:p>
        </w:tc>
        <w:tc>
          <w:tcPr>
            <w:tcW w:w="120" w:type="dxa"/>
            <w:vAlign w:val="bottom"/>
            <w:shd w:val="clear" w:color="auto" w:fill="0063A6"/>
          </w:tcPr>
          <w:p>
            <w:pPr>
              <w:spacing w:after="0"/>
              <w:rPr>
                <w:sz w:val="12"/>
                <w:szCs w:val="12"/>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60" w:type="dxa"/>
            <w:vAlign w:val="bottom"/>
            <w:shd w:val="clear" w:color="auto" w:fill="0063A6"/>
          </w:tcPr>
          <w:p>
            <w:pPr>
              <w:spacing w:after="0"/>
              <w:rPr>
                <w:sz w:val="12"/>
                <w:szCs w:val="12"/>
                <w:color w:val="auto"/>
              </w:rPr>
            </w:pPr>
          </w:p>
        </w:tc>
        <w:tc>
          <w:tcPr>
            <w:tcW w:w="160" w:type="dxa"/>
            <w:vAlign w:val="bottom"/>
            <w:shd w:val="clear" w:color="auto" w:fill="0063A6"/>
          </w:tcPr>
          <w:p>
            <w:pPr>
              <w:spacing w:after="0"/>
              <w:rPr>
                <w:sz w:val="12"/>
                <w:szCs w:val="12"/>
                <w:color w:val="auto"/>
              </w:rPr>
            </w:pPr>
          </w:p>
        </w:tc>
        <w:tc>
          <w:tcPr>
            <w:tcW w:w="10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20" w:type="dxa"/>
            <w:vAlign w:val="bottom"/>
            <w:shd w:val="clear" w:color="auto" w:fill="0063A6"/>
          </w:tcPr>
          <w:p>
            <w:pPr>
              <w:spacing w:after="0"/>
              <w:rPr>
                <w:sz w:val="12"/>
                <w:szCs w:val="12"/>
                <w:color w:val="auto"/>
              </w:rPr>
            </w:pPr>
          </w:p>
        </w:tc>
        <w:tc>
          <w:tcPr>
            <w:tcW w:w="140" w:type="dxa"/>
            <w:vAlign w:val="bottom"/>
            <w:shd w:val="clear" w:color="auto" w:fill="0063A6"/>
          </w:tcPr>
          <w:p>
            <w:pPr>
              <w:spacing w:after="0"/>
              <w:rPr>
                <w:sz w:val="12"/>
                <w:szCs w:val="12"/>
                <w:color w:val="auto"/>
              </w:rPr>
            </w:pPr>
          </w:p>
        </w:tc>
        <w:tc>
          <w:tcPr>
            <w:tcW w:w="1140" w:type="dxa"/>
            <w:vAlign w:val="bottom"/>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Compensation</w:t>
            </w:r>
          </w:p>
        </w:tc>
        <w:tc>
          <w:tcPr>
            <w:tcW w:w="160" w:type="dxa"/>
            <w:vAlign w:val="bottom"/>
            <w:shd w:val="clear" w:color="auto" w:fill="0063A6"/>
          </w:tcPr>
          <w:p>
            <w:pPr>
              <w:spacing w:after="0"/>
              <w:rPr>
                <w:sz w:val="12"/>
                <w:szCs w:val="12"/>
                <w:color w:val="auto"/>
              </w:rPr>
            </w:pPr>
          </w:p>
        </w:tc>
        <w:tc>
          <w:tcPr>
            <w:tcW w:w="60" w:type="dxa"/>
            <w:vAlign w:val="bottom"/>
            <w:shd w:val="clear" w:color="auto" w:fill="0063A6"/>
          </w:tcPr>
          <w:p>
            <w:pPr>
              <w:spacing w:after="0"/>
              <w:rPr>
                <w:sz w:val="12"/>
                <w:szCs w:val="12"/>
                <w:color w:val="auto"/>
              </w:rPr>
            </w:pPr>
          </w:p>
        </w:tc>
        <w:tc>
          <w:tcPr>
            <w:tcW w:w="8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w:t>
            </w:r>
          </w:p>
        </w:tc>
        <w:tc>
          <w:tcPr>
            <w:tcW w:w="1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3"/>
                <w:szCs w:val="13"/>
                <w:b w:val="1"/>
                <w:bCs w:val="1"/>
                <w:color w:val="FFFFFF"/>
              </w:rPr>
              <w:t>Year</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80" w:type="dxa"/>
            <w:vAlign w:val="bottom"/>
            <w:shd w:val="clear" w:color="auto" w:fill="0063A6"/>
          </w:tcPr>
          <w:p>
            <w:pPr>
              <w:spacing w:after="0"/>
              <w:rPr>
                <w:sz w:val="23"/>
                <w:szCs w:val="23"/>
                <w:color w:val="auto"/>
              </w:rPr>
            </w:pPr>
          </w:p>
        </w:tc>
        <w:tc>
          <w:tcPr>
            <w:tcW w:w="140" w:type="dxa"/>
            <w:vAlign w:val="bottom"/>
            <w:shd w:val="clear" w:color="auto" w:fill="0063A6"/>
          </w:tcPr>
          <w:p>
            <w:pPr>
              <w:spacing w:after="0"/>
              <w:rPr>
                <w:sz w:val="23"/>
                <w:szCs w:val="23"/>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80" w:type="dxa"/>
            <w:vAlign w:val="bottom"/>
            <w:shd w:val="clear" w:color="auto" w:fill="0063A6"/>
          </w:tcPr>
          <w:p>
            <w:pPr>
              <w:spacing w:after="0"/>
              <w:rPr>
                <w:sz w:val="23"/>
                <w:szCs w:val="23"/>
                <w:color w:val="auto"/>
              </w:rPr>
            </w:pPr>
          </w:p>
        </w:tc>
        <w:tc>
          <w:tcPr>
            <w:tcW w:w="140" w:type="dxa"/>
            <w:vAlign w:val="bottom"/>
            <w:shd w:val="clear" w:color="auto" w:fill="0063A6"/>
          </w:tcPr>
          <w:p>
            <w:pPr>
              <w:spacing w:after="0"/>
              <w:rPr>
                <w:sz w:val="23"/>
                <w:szCs w:val="23"/>
                <w:color w:val="auto"/>
              </w:rPr>
            </w:pPr>
          </w:p>
        </w:tc>
        <w:tc>
          <w:tcPr>
            <w:tcW w:w="940" w:type="dxa"/>
            <w:vAlign w:val="bottom"/>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Year ($)</w:t>
            </w:r>
          </w:p>
        </w:tc>
        <w:tc>
          <w:tcPr>
            <w:tcW w:w="100" w:type="dxa"/>
            <w:vAlign w:val="bottom"/>
            <w:shd w:val="clear" w:color="auto" w:fill="0063A6"/>
          </w:tcPr>
          <w:p>
            <w:pPr>
              <w:spacing w:after="0"/>
              <w:rPr>
                <w:sz w:val="23"/>
                <w:szCs w:val="23"/>
                <w:color w:val="auto"/>
              </w:rPr>
            </w:pPr>
          </w:p>
        </w:tc>
        <w:tc>
          <w:tcPr>
            <w:tcW w:w="120" w:type="dxa"/>
            <w:vAlign w:val="bottom"/>
            <w:shd w:val="clear" w:color="auto" w:fill="0063A6"/>
          </w:tcPr>
          <w:p>
            <w:pPr>
              <w:spacing w:after="0"/>
              <w:rPr>
                <w:sz w:val="23"/>
                <w:szCs w:val="23"/>
                <w:color w:val="auto"/>
              </w:rPr>
            </w:pPr>
          </w:p>
        </w:tc>
        <w:tc>
          <w:tcPr>
            <w:tcW w:w="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60" w:type="dxa"/>
            <w:vAlign w:val="bottom"/>
            <w:shd w:val="clear" w:color="auto" w:fill="0063A6"/>
          </w:tcPr>
          <w:p>
            <w:pPr>
              <w:spacing w:after="0"/>
              <w:rPr>
                <w:sz w:val="23"/>
                <w:szCs w:val="23"/>
                <w:color w:val="auto"/>
              </w:rPr>
            </w:pPr>
          </w:p>
        </w:tc>
        <w:tc>
          <w:tcPr>
            <w:tcW w:w="160" w:type="dxa"/>
            <w:vAlign w:val="bottom"/>
            <w:shd w:val="clear" w:color="auto" w:fill="0063A6"/>
          </w:tcPr>
          <w:p>
            <w:pPr>
              <w:spacing w:after="0"/>
              <w:rPr>
                <w:sz w:val="23"/>
                <w:szCs w:val="23"/>
                <w:color w:val="auto"/>
              </w:rPr>
            </w:pPr>
          </w:p>
        </w:tc>
        <w:tc>
          <w:tcPr>
            <w:tcW w:w="1000" w:type="dxa"/>
            <w:vAlign w:val="bottom"/>
            <w:shd w:val="clear" w:color="auto" w:fill="0063A6"/>
          </w:tcPr>
          <w:p>
            <w:pPr>
              <w:jc w:val="center"/>
              <w:ind w:left="12"/>
              <w:spacing w:after="0"/>
              <w:rPr>
                <w:sz w:val="20"/>
                <w:szCs w:val="20"/>
                <w:color w:val="auto"/>
              </w:rPr>
            </w:pPr>
            <w:r>
              <w:rPr>
                <w:rFonts w:ascii="Arial" w:cs="Arial" w:eastAsia="Arial" w:hAnsi="Arial"/>
                <w:sz w:val="13"/>
                <w:szCs w:val="13"/>
                <w:b w:val="1"/>
                <w:bCs w:val="1"/>
                <w:color w:val="FFFFFF"/>
              </w:rPr>
              <w:t>the Year ($)</w:t>
            </w:r>
          </w:p>
        </w:tc>
        <w:tc>
          <w:tcPr>
            <w:tcW w:w="120" w:type="dxa"/>
            <w:vAlign w:val="bottom"/>
            <w:shd w:val="clear" w:color="auto" w:fill="0063A6"/>
          </w:tcPr>
          <w:p>
            <w:pPr>
              <w:spacing w:after="0"/>
              <w:rPr>
                <w:sz w:val="23"/>
                <w:szCs w:val="23"/>
                <w:color w:val="auto"/>
              </w:rPr>
            </w:pPr>
          </w:p>
        </w:tc>
        <w:tc>
          <w:tcPr>
            <w:tcW w:w="140" w:type="dxa"/>
            <w:vAlign w:val="bottom"/>
            <w:shd w:val="clear" w:color="auto" w:fill="0063A6"/>
          </w:tcPr>
          <w:p>
            <w:pPr>
              <w:spacing w:after="0"/>
              <w:rPr>
                <w:sz w:val="23"/>
                <w:szCs w:val="23"/>
                <w:color w:val="auto"/>
              </w:rPr>
            </w:pP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63A6"/>
          </w:tcPr>
          <w:p>
            <w:pPr>
              <w:spacing w:after="0"/>
              <w:rPr>
                <w:sz w:val="23"/>
                <w:szCs w:val="23"/>
                <w:color w:val="auto"/>
              </w:rPr>
            </w:pPr>
          </w:p>
        </w:tc>
        <w:tc>
          <w:tcPr>
            <w:tcW w:w="60" w:type="dxa"/>
            <w:vAlign w:val="bottom"/>
            <w:shd w:val="clear" w:color="auto" w:fill="0063A6"/>
          </w:tcPr>
          <w:p>
            <w:pPr>
              <w:spacing w:after="0"/>
              <w:rPr>
                <w:sz w:val="23"/>
                <w:szCs w:val="23"/>
                <w:color w:val="auto"/>
              </w:rPr>
            </w:pPr>
          </w:p>
        </w:tc>
        <w:tc>
          <w:tcPr>
            <w:tcW w:w="880" w:type="dxa"/>
            <w:vAlign w:val="bottom"/>
            <w:shd w:val="clear" w:color="auto" w:fill="0063A6"/>
          </w:tcPr>
          <w:p>
            <w:pPr>
              <w:jc w:val="center"/>
              <w:spacing w:after="0" w:line="270" w:lineRule="exact"/>
              <w:rPr>
                <w:sz w:val="20"/>
                <w:szCs w:val="20"/>
                <w:color w:val="auto"/>
              </w:rPr>
            </w:pPr>
            <w:r>
              <w:rPr>
                <w:rFonts w:ascii="Arial" w:cs="Arial" w:eastAsia="Arial" w:hAnsi="Arial"/>
                <w:sz w:val="26"/>
                <w:szCs w:val="26"/>
                <w:b w:val="1"/>
                <w:bCs w:val="1"/>
                <w:color w:val="FFFFFF"/>
                <w:w w:val="86"/>
                <w:vertAlign w:val="subscript"/>
              </w:rPr>
              <w:t>($)</w:t>
            </w:r>
            <w:r>
              <w:rPr>
                <w:rFonts w:ascii="Arial" w:cs="Arial" w:eastAsia="Arial" w:hAnsi="Arial"/>
                <w:sz w:val="11"/>
                <w:szCs w:val="11"/>
                <w:b w:val="1"/>
                <w:bCs w:val="1"/>
                <w:color w:val="FFFFFF"/>
                <w:w w:val="86"/>
              </w:rPr>
              <w:t>(a)</w:t>
            </w:r>
          </w:p>
        </w:tc>
        <w:tc>
          <w:tcPr>
            <w:tcW w:w="10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4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2,038,975</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-2,637,402</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32"/>
              <w:spacing w:after="0"/>
              <w:rPr>
                <w:sz w:val="20"/>
                <w:szCs w:val="20"/>
                <w:color w:val="auto"/>
              </w:rPr>
            </w:pPr>
            <w:r>
              <w:rPr>
                <w:rFonts w:ascii="Arial" w:cs="Arial" w:eastAsia="Arial" w:hAnsi="Arial"/>
                <w:sz w:val="14"/>
                <w:szCs w:val="14"/>
                <w:color w:val="auto"/>
              </w:rPr>
              <w:t>479,292</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-218,688</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1000" w:type="dxa"/>
            <w:vAlign w:val="bottom"/>
          </w:tcPr>
          <w:p>
            <w:pPr>
              <w:jc w:val="center"/>
              <w:ind w:left="12"/>
              <w:spacing w:after="0"/>
              <w:rPr>
                <w:sz w:val="20"/>
                <w:szCs w:val="20"/>
                <w:color w:val="auto"/>
              </w:rPr>
            </w:pPr>
            <w:r>
              <w:rPr>
                <w:rFonts w:ascii="Arial" w:cs="Arial" w:eastAsia="Arial" w:hAnsi="Arial"/>
                <w:sz w:val="14"/>
                <w:szCs w:val="14"/>
                <w:color w:val="auto"/>
              </w:rPr>
              <w:t>0</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-337,824</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5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1,455,584</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1,400,515</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32"/>
              <w:spacing w:after="0"/>
              <w:rPr>
                <w:sz w:val="20"/>
                <w:szCs w:val="20"/>
                <w:color w:val="auto"/>
              </w:rPr>
            </w:pPr>
            <w:r>
              <w:rPr>
                <w:rFonts w:ascii="Arial" w:cs="Arial" w:eastAsia="Arial" w:hAnsi="Arial"/>
                <w:sz w:val="14"/>
                <w:szCs w:val="14"/>
                <w:color w:val="auto"/>
              </w:rPr>
              <w:t>385,547</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648,906</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1000" w:type="dxa"/>
            <w:vAlign w:val="bottom"/>
          </w:tcPr>
          <w:p>
            <w:pPr>
              <w:jc w:val="center"/>
              <w:ind w:left="12"/>
              <w:spacing w:after="0"/>
              <w:rPr>
                <w:sz w:val="20"/>
                <w:szCs w:val="20"/>
                <w:color w:val="auto"/>
              </w:rPr>
            </w:pPr>
            <w:r>
              <w:rPr>
                <w:rFonts w:ascii="Arial" w:cs="Arial" w:eastAsia="Arial" w:hAnsi="Arial"/>
                <w:sz w:val="14"/>
                <w:szCs w:val="14"/>
                <w:color w:val="auto"/>
              </w:rPr>
              <w:t>3,514,724</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375,828</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5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440" w:type="dxa"/>
            <w:vAlign w:val="bottom"/>
          </w:tcPr>
          <w:p>
            <w:pPr>
              <w:ind w:left="20"/>
              <w:spacing w:after="0"/>
              <w:rPr>
                <w:sz w:val="20"/>
                <w:szCs w:val="20"/>
                <w:color w:val="auto"/>
              </w:rPr>
            </w:pPr>
            <w:r>
              <w:rPr>
                <w:rFonts w:ascii="Arial" w:cs="Arial" w:eastAsia="Arial" w:hAnsi="Arial"/>
                <w:sz w:val="14"/>
                <w:szCs w:val="14"/>
                <w:color w:val="auto"/>
              </w:rPr>
              <w:t>2020</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9,833,673</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796,740</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center"/>
              <w:ind w:left="32"/>
              <w:spacing w:after="0"/>
              <w:rPr>
                <w:sz w:val="20"/>
                <w:szCs w:val="20"/>
                <w:color w:val="auto"/>
              </w:rPr>
            </w:pPr>
            <w:r>
              <w:rPr>
                <w:rFonts w:ascii="Arial" w:cs="Arial" w:eastAsia="Arial" w:hAnsi="Arial"/>
                <w:sz w:val="14"/>
                <w:szCs w:val="14"/>
                <w:color w:val="auto"/>
              </w:rPr>
              <w:t>307,618</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148,905</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60"/>
              <w:spacing w:after="0"/>
              <w:rPr>
                <w:sz w:val="20"/>
                <w:szCs w:val="20"/>
                <w:color w:val="auto"/>
              </w:rPr>
            </w:pPr>
            <w:r>
              <w:rPr>
                <w:rFonts w:ascii="Arial" w:cs="Arial" w:eastAsia="Arial" w:hAnsi="Arial"/>
                <w:sz w:val="4"/>
                <w:szCs w:val="4"/>
                <w:color w:val="auto"/>
              </w:rPr>
              <w:t>​</w:t>
            </w:r>
          </w:p>
        </w:tc>
        <w:tc>
          <w:tcPr>
            <w:tcW w:w="1000" w:type="dxa"/>
            <w:vAlign w:val="bottom"/>
          </w:tcPr>
          <w:p>
            <w:pPr>
              <w:jc w:val="center"/>
              <w:ind w:left="12"/>
              <w:spacing w:after="0"/>
              <w:rPr>
                <w:sz w:val="20"/>
                <w:szCs w:val="20"/>
                <w:color w:val="auto"/>
              </w:rPr>
            </w:pPr>
            <w:r>
              <w:rPr>
                <w:rFonts w:ascii="Arial" w:cs="Arial" w:eastAsia="Arial" w:hAnsi="Arial"/>
                <w:sz w:val="14"/>
                <w:szCs w:val="14"/>
                <w:color w:val="auto"/>
              </w:rPr>
              <w:t>1,488,772</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0</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0"/>
                <w:szCs w:val="20"/>
                <w:color w:val="auto"/>
              </w:rPr>
            </w:pPr>
            <w:r>
              <w:rPr>
                <w:rFonts w:ascii="Arial" w:cs="Arial" w:eastAsia="Arial" w:hAnsi="Arial"/>
                <w:sz w:val="4"/>
                <w:szCs w:val="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9,598,164</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04" w:right="220" w:hanging="244"/>
        <w:spacing w:after="0" w:line="193" w:lineRule="auto"/>
        <w:tabs>
          <w:tab w:leader="none" w:pos="604" w:val="left"/>
        </w:tabs>
        <w:numPr>
          <w:ilvl w:val="1"/>
          <w:numId w:val="67"/>
        </w:numPr>
        <w:rPr>
          <w:rFonts w:ascii="Arial" w:cs="Arial" w:eastAsia="Arial" w:hAnsi="Arial"/>
          <w:sz w:val="22"/>
          <w:szCs w:val="22"/>
          <w:color w:val="auto"/>
          <w:vertAlign w:val="superscript"/>
        </w:rPr>
      </w:pPr>
      <w:r>
        <w:rPr>
          <w:rFonts w:ascii="Arial" w:cs="Arial" w:eastAsia="Arial" w:hAnsi="Arial"/>
          <w:sz w:val="14"/>
          <w:szCs w:val="14"/>
          <w:color w:val="auto"/>
        </w:rPr>
        <w:t>The total average equity award adjustment is calculated by adding the values in columns (a), (b), (c), (d), and (f) less (e). Due to rounding, the total average equity award may not equal the total obtained by adding and subtracting the applicable columns.</w:t>
      </w:r>
    </w:p>
    <w:p>
      <w:pPr>
        <w:spacing w:after="0" w:line="2" w:lineRule="exact"/>
        <w:rPr>
          <w:rFonts w:ascii="Arial" w:cs="Arial" w:eastAsia="Arial" w:hAnsi="Arial"/>
          <w:sz w:val="22"/>
          <w:szCs w:val="22"/>
          <w:color w:val="auto"/>
          <w:vertAlign w:val="superscript"/>
        </w:rPr>
      </w:pPr>
    </w:p>
    <w:p>
      <w:pPr>
        <w:ind w:left="244" w:right="80" w:hanging="244"/>
        <w:spacing w:after="0" w:line="203" w:lineRule="auto"/>
        <w:tabs>
          <w:tab w:leader="none" w:pos="244"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Cumulative total shareholder return (“</w:t>
      </w:r>
      <w:r>
        <w:rPr>
          <w:rFonts w:ascii="Arial" w:cs="Arial" w:eastAsia="Arial" w:hAnsi="Arial"/>
          <w:sz w:val="14"/>
          <w:szCs w:val="14"/>
          <w:b w:val="1"/>
          <w:bCs w:val="1"/>
          <w:i w:val="1"/>
          <w:iCs w:val="1"/>
          <w:color w:val="auto"/>
        </w:rPr>
        <w:t>TSR</w:t>
      </w:r>
      <w:r>
        <w:rPr>
          <w:rFonts w:ascii="Arial" w:cs="Arial" w:eastAsia="Arial" w:hAnsi="Arial"/>
          <w:sz w:val="14"/>
          <w:szCs w:val="14"/>
          <w:color w:val="auto"/>
        </w:rPr>
        <w:t>”) is calculated as the difference between the company’s share price at the end and the beginning of the measurement period divided by the company’s share price at the beginning of the measurement period.</w:t>
      </w:r>
    </w:p>
    <w:p>
      <w:pPr>
        <w:ind w:left="244" w:hanging="244"/>
        <w:spacing w:after="0" w:line="183" w:lineRule="auto"/>
        <w:tabs>
          <w:tab w:leader="none" w:pos="244" w:val="left"/>
        </w:tabs>
        <w:numPr>
          <w:ilvl w:val="0"/>
          <w:numId w:val="68"/>
        </w:numPr>
        <w:rPr>
          <w:rFonts w:ascii="Arial" w:cs="Arial" w:eastAsia="Arial" w:hAnsi="Arial"/>
          <w:sz w:val="20"/>
          <w:szCs w:val="20"/>
          <w:color w:val="auto"/>
          <w:vertAlign w:val="superscript"/>
        </w:rPr>
      </w:pPr>
      <w:r>
        <w:rPr>
          <w:rFonts w:ascii="Arial" w:cs="Arial" w:eastAsia="Arial" w:hAnsi="Arial"/>
          <w:sz w:val="14"/>
          <w:szCs w:val="14"/>
          <w:color w:val="auto"/>
        </w:rPr>
        <w:t>The peer group used for this purpose is the following published industry index: Nasdaq Computer Index.</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The dollar amounts reported represent the amount of net income reflected in the company’s audited financial statements for the applicable year.</w:t>
      </w:r>
    </w:p>
    <w:p>
      <w:pPr>
        <w:spacing w:after="0" w:line="16" w:lineRule="exact"/>
        <w:rPr>
          <w:rFonts w:ascii="Arial" w:cs="Arial" w:eastAsia="Arial" w:hAnsi="Arial"/>
          <w:sz w:val="19"/>
          <w:szCs w:val="19"/>
          <w:color w:val="auto"/>
          <w:vertAlign w:val="superscript"/>
        </w:rPr>
      </w:pPr>
    </w:p>
    <w:p>
      <w:pPr>
        <w:ind w:left="244" w:right="20" w:hanging="244"/>
        <w:spacing w:after="0" w:line="193" w:lineRule="auto"/>
        <w:tabs>
          <w:tab w:leader="none" w:pos="244"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63A6"/>
        </w:rPr>
        <w:t>Financial Performance Measures</w:t>
      </w:r>
    </w:p>
    <w:p>
      <w:pPr>
        <w:spacing w:after="0" w:line="36"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 xml:space="preserve">As described in greater detail in “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48" w:lineRule="exact"/>
        <w:rPr>
          <w:sz w:val="20"/>
          <w:szCs w:val="20"/>
          <w:color w:val="auto"/>
        </w:rPr>
      </w:pPr>
    </w:p>
    <w:p>
      <w:pPr>
        <w:ind w:left="284" w:hanging="284"/>
        <w:spacing w:after="0"/>
        <w:tabs>
          <w:tab w:leader="none" w:pos="284" w:val="left"/>
        </w:tabs>
        <w:numPr>
          <w:ilvl w:val="0"/>
          <w:numId w:val="69"/>
        </w:numPr>
        <w:rPr>
          <w:rFonts w:ascii="Arial" w:cs="Arial" w:eastAsia="Arial" w:hAnsi="Arial"/>
          <w:sz w:val="16"/>
          <w:szCs w:val="16"/>
          <w:color w:val="0063A6"/>
        </w:rPr>
      </w:pPr>
      <w:r>
        <w:rPr>
          <w:rFonts w:ascii="Arial" w:cs="Arial" w:eastAsia="Arial" w:hAnsi="Arial"/>
          <w:sz w:val="16"/>
          <w:szCs w:val="16"/>
          <w:color w:val="auto"/>
        </w:rPr>
        <w:t>Revenue</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69"/>
        </w:numPr>
        <w:rPr>
          <w:rFonts w:ascii="Arial" w:cs="Arial" w:eastAsia="Arial" w:hAnsi="Arial"/>
          <w:sz w:val="16"/>
          <w:szCs w:val="16"/>
          <w:color w:val="0063A6"/>
        </w:rPr>
      </w:pPr>
      <w:r>
        <w:rPr>
          <w:rFonts w:ascii="Arial" w:cs="Arial" w:eastAsia="Arial" w:hAnsi="Arial"/>
          <w:sz w:val="16"/>
          <w:szCs w:val="16"/>
          <w:color w:val="auto"/>
        </w:rPr>
        <w:t>Non-GAAP operating margin</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69"/>
        </w:numPr>
        <w:rPr>
          <w:rFonts w:ascii="Arial" w:cs="Arial" w:eastAsia="Arial" w:hAnsi="Arial"/>
          <w:sz w:val="16"/>
          <w:szCs w:val="16"/>
          <w:color w:val="0063A6"/>
        </w:rPr>
      </w:pPr>
      <w:r>
        <w:rPr>
          <w:rFonts w:ascii="Arial" w:cs="Arial" w:eastAsia="Arial" w:hAnsi="Arial"/>
          <w:sz w:val="16"/>
          <w:szCs w:val="16"/>
          <w:color w:val="auto"/>
        </w:rPr>
        <w:t>Stock-based compensation expense</w:t>
      </w:r>
    </w:p>
    <w:p>
      <w:pPr>
        <w:spacing w:after="0" w:line="167" w:lineRule="exact"/>
        <w:rPr>
          <w:rFonts w:ascii="Arial" w:cs="Arial" w:eastAsia="Arial" w:hAnsi="Arial"/>
          <w:sz w:val="16"/>
          <w:szCs w:val="16"/>
          <w:color w:val="0063A6"/>
        </w:rPr>
      </w:pPr>
    </w:p>
    <w:p>
      <w:pPr>
        <w:ind w:left="284" w:hanging="284"/>
        <w:spacing w:after="0"/>
        <w:tabs>
          <w:tab w:leader="none" w:pos="284" w:val="left"/>
        </w:tabs>
        <w:numPr>
          <w:ilvl w:val="0"/>
          <w:numId w:val="69"/>
        </w:numPr>
        <w:rPr>
          <w:rFonts w:ascii="Arial" w:cs="Arial" w:eastAsia="Arial" w:hAnsi="Arial"/>
          <w:sz w:val="16"/>
          <w:szCs w:val="16"/>
          <w:color w:val="0063A6"/>
        </w:rPr>
      </w:pPr>
      <w:r>
        <w:rPr>
          <w:rFonts w:ascii="Arial" w:cs="Arial" w:eastAsia="Arial" w:hAnsi="Arial"/>
          <w:sz w:val="16"/>
          <w:szCs w:val="16"/>
          <w:color w:val="auto"/>
        </w:rPr>
        <w:t>Stock price</w:t>
      </w:r>
    </w:p>
    <w:p>
      <w:pPr>
        <w:spacing w:after="0" w:line="206" w:lineRule="exact"/>
        <w:rPr>
          <w:sz w:val="20"/>
          <w:szCs w:val="20"/>
          <w:color w:val="auto"/>
        </w:rPr>
      </w:pPr>
    </w:p>
    <w:p>
      <w:pPr>
        <w:ind w:left="3664"/>
        <w:spacing w:after="0"/>
        <w:tabs>
          <w:tab w:leader="none" w:pos="9404"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Analysis of the Information Presented in the Pay versus Performance Table</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described in more detail in the section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6"/>
          <w:szCs w:val="16"/>
          <w:i w:val="1"/>
          <w:iCs w:val="1"/>
          <w:color w:val="auto"/>
        </w:rPr>
        <w:t>Pay</w:t>
      </w:r>
      <w:r>
        <w:rPr>
          <w:rFonts w:ascii="Arial" w:cs="Arial" w:eastAsia="Arial" w:hAnsi="Arial"/>
          <w:sz w:val="16"/>
          <w:szCs w:val="16"/>
          <w:color w:val="auto"/>
        </w:rPr>
        <w:t xml:space="preserve"> </w:t>
      </w:r>
      <w:r>
        <w:rPr>
          <w:rFonts w:ascii="Arial" w:cs="Arial" w:eastAsia="Arial" w:hAnsi="Arial"/>
          <w:sz w:val="16"/>
          <w:szCs w:val="16"/>
          <w:i w:val="1"/>
          <w:iCs w:val="1"/>
          <w:color w:val="auto"/>
        </w:rPr>
        <w:t>Versus Performance</w:t>
      </w:r>
      <w:r>
        <w:rPr>
          <w:rFonts w:ascii="Arial" w:cs="Arial" w:eastAsia="Arial" w:hAnsi="Arial"/>
          <w:sz w:val="16"/>
          <w:szCs w:val="16"/>
          <w:color w:val="auto"/>
        </w:rPr>
        <w:t>” table. Moreover, the company generally seeks to incentivize long-term performance, and therefore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Cumulative TSR</w:t>
      </w:r>
    </w:p>
    <w:p>
      <w:pPr>
        <w:spacing w:after="0" w:line="5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demonstrated by the following graph, the amount of compensation actually paid to Mr. Houston and the average amount of compensation actually paid to the Company’s NEOs as a group (excluding Mr. Houston) has decreased while total shareholder return has been positive over the three years presented in the table. The decrease in compensation actually paid over the three-year period is because a significant portion of compensation actually paid is comprised of equity awards, and in the case of Messrs. Houston and Young, vesting of equity awards is contingent upon achieving stock price targets as described in more detail in the section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205740</wp:posOffset>
            </wp:positionV>
            <wp:extent cx="5871845" cy="1508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18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Net Income</w:t>
      </w:r>
    </w:p>
    <w:p>
      <w:pPr>
        <w:spacing w:after="0" w:line="5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demonstrated by the following graph, the amount of compensation actually paid to Mr. Houston and the average amount of compensation actually paid to the company’s NEOs as a group (excluding Mr. Houston) decreased over the three years presented in the graph while the company’s net income increased over the same period. We do not use net income as a performance measure in our short or long-term incentive programs and as further discussed in the section “</w:t>
      </w:r>
      <w:r>
        <w:rPr>
          <w:rFonts w:ascii="Arial" w:cs="Arial" w:eastAsia="Arial" w:hAnsi="Arial"/>
          <w:sz w:val="16"/>
          <w:szCs w:val="16"/>
          <w:i w:val="1"/>
          <w:iCs w:val="1"/>
          <w:color w:val="auto"/>
        </w:rPr>
        <w:t>Executive Compensation –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 a majority of the total compensation for the company’s NEOs is in the form of equity and therefore tied to</w:t>
      </w:r>
      <w:r>
        <w:rPr>
          <w:rFonts w:ascii="Arial" w:cs="Arial" w:eastAsia="Arial" w:hAnsi="Arial"/>
          <w:sz w:val="16"/>
          <w:szCs w:val="16"/>
          <w:i w:val="1"/>
          <w:iCs w:val="1"/>
          <w:color w:val="auto"/>
        </w:rPr>
        <w:t xml:space="preserve"> </w:t>
      </w:r>
      <w:r>
        <w:rPr>
          <w:rFonts w:ascii="Arial" w:cs="Arial" w:eastAsia="Arial" w:hAnsi="Arial"/>
          <w:sz w:val="16"/>
          <w:szCs w:val="16"/>
          <w:color w:val="auto"/>
        </w:rPr>
        <w:t>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58 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Revenue</w:t>
      </w:r>
    </w:p>
    <w:p>
      <w:pPr>
        <w:spacing w:after="0" w:line="6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demonstrated by the following graph, the amount of compensation actually paid to Mr. Houston and the average amount of compensation actually paid to the company’s NEOs as a group (excluding Mr. Houston) decreased over the three years presented in the graph while the company’s revenue increased over the same period.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revenue represents two-thirds of the corporate multiplier of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208280</wp:posOffset>
            </wp:positionV>
            <wp:extent cx="5871845" cy="1534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184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Cumulative TSR of the Company and Cumulative TSR of the Peer Group</w:t>
      </w:r>
    </w:p>
    <w:p>
      <w:pPr>
        <w:spacing w:after="0" w:line="6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As demonstrated by the following graph, the company’s cumulative TSR over the three-year period presented in the table was 25%, while the cumulative TSR of the peer group presented for this purpose, the Nasdaq Computer Index, was 33% over the three years presented in the table. For more information regarding the company’s performance and the companies that the talent and compensation committee considers when determining compensation, refer to “</w:t>
      </w:r>
      <w:r>
        <w:rPr>
          <w:rFonts w:ascii="Arial" w:cs="Arial" w:eastAsia="Arial" w:hAnsi="Arial"/>
          <w:sz w:val="16"/>
          <w:szCs w:val="16"/>
          <w:i w:val="1"/>
          <w:iCs w:val="1"/>
          <w:color w:val="auto"/>
        </w:rPr>
        <w:t>Executive Compensation – Compensation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204470</wp:posOffset>
            </wp:positionV>
            <wp:extent cx="2931795" cy="1500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317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160" w:top="265" w:right="1159" w:bottom="1440" w:gutter="0" w:footer="0" w:header="0"/>
        </w:sectPr>
      </w:pPr>
    </w:p>
    <w:bookmarkStart w:id="63" w:name="page64"/>
    <w:bookmarkEnd w:id="63"/>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32"/>
          <w:szCs w:val="32"/>
          <w:color w:val="0063A6"/>
        </w:rPr>
        <w:t>EQUITY COMPENSATION PLAN INFORMATION</w:t>
      </w:r>
    </w:p>
    <w:p>
      <w:pPr>
        <w:spacing w:after="0" w:line="170"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The following table summarizes our equity compensation plan information as of December 31, 2022.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2022, 227,862 shares of Class A common stock were issuable upon exercise of outstanding options and release of restricted stock units assumed in connection with acquisitions. The weighted average exercise price of such outstanding options was $6.07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077585" cy="10026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7585" cy="1002665"/>
                    </a:xfrm>
                    <a:prstGeom prst="rect">
                      <a:avLst/>
                    </a:prstGeom>
                    <a:noFill/>
                  </pic:spPr>
                </pic:pic>
              </a:graphicData>
            </a:graphic>
          </wp:anchor>
        </w:drawing>
      </w:r>
    </w:p>
    <w:p>
      <w:pPr>
        <w:spacing w:after="0" w:line="37"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1980" w:type="dxa"/>
            <w:vAlign w:val="bottom"/>
            <w:shd w:val="clear" w:color="auto" w:fill="0063A6"/>
          </w:tcPr>
          <w:p>
            <w:pPr>
              <w:spacing w:after="0"/>
              <w:rPr>
                <w:sz w:val="22"/>
                <w:szCs w:val="22"/>
                <w:color w:val="auto"/>
              </w:rPr>
            </w:pPr>
          </w:p>
        </w:tc>
        <w:tc>
          <w:tcPr>
            <w:tcW w:w="1300" w:type="dxa"/>
            <w:vAlign w:val="bottom"/>
            <w:shd w:val="clear" w:color="auto" w:fill="0063A6"/>
          </w:tcPr>
          <w:p>
            <w:pPr>
              <w:spacing w:after="0"/>
              <w:rPr>
                <w:sz w:val="22"/>
                <w:szCs w:val="22"/>
                <w:color w:val="auto"/>
              </w:rPr>
            </w:pP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320" w:type="dxa"/>
            <w:vAlign w:val="bottom"/>
            <w:shd w:val="clear" w:color="auto" w:fill="0063A6"/>
          </w:tcPr>
          <w:p>
            <w:pPr>
              <w:spacing w:after="0"/>
              <w:rPr>
                <w:sz w:val="22"/>
                <w:szCs w:val="22"/>
                <w:color w:val="auto"/>
              </w:rPr>
            </w:pPr>
          </w:p>
        </w:tc>
        <w:tc>
          <w:tcPr>
            <w:tcW w:w="1600" w:type="dxa"/>
            <w:vAlign w:val="bottom"/>
            <w:shd w:val="clear" w:color="auto" w:fill="0063A6"/>
          </w:tcPr>
          <w:p>
            <w:pPr>
              <w:spacing w:after="0"/>
              <w:rPr>
                <w:sz w:val="22"/>
                <w:szCs w:val="22"/>
                <w:color w:val="auto"/>
              </w:rPr>
            </w:pPr>
          </w:p>
        </w:tc>
        <w:tc>
          <w:tcPr>
            <w:tcW w:w="320" w:type="dxa"/>
            <w:vAlign w:val="bottom"/>
            <w:shd w:val="clear" w:color="auto" w:fill="0063A6"/>
          </w:tcPr>
          <w:p>
            <w:pPr>
              <w:spacing w:after="0"/>
              <w:rPr>
                <w:sz w:val="22"/>
                <w:szCs w:val="22"/>
                <w:color w:val="auto"/>
              </w:rPr>
            </w:pPr>
          </w:p>
        </w:tc>
        <w:tc>
          <w:tcPr>
            <w:tcW w:w="234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Number of Securities Remaining</w:t>
            </w:r>
          </w:p>
        </w:tc>
        <w:tc>
          <w:tcPr>
            <w:tcW w:w="12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0063A6"/>
          </w:tcPr>
          <w:p>
            <w:pPr>
              <w:spacing w:after="0"/>
              <w:rPr>
                <w:sz w:val="14"/>
                <w:szCs w:val="14"/>
                <w:color w:val="auto"/>
              </w:rPr>
            </w:pPr>
          </w:p>
        </w:tc>
        <w:tc>
          <w:tcPr>
            <w:tcW w:w="1300" w:type="dxa"/>
            <w:vAlign w:val="bottom"/>
            <w:shd w:val="clear" w:color="auto" w:fill="0063A6"/>
          </w:tcPr>
          <w:p>
            <w:pPr>
              <w:spacing w:after="0"/>
              <w:rPr>
                <w:sz w:val="14"/>
                <w:szCs w:val="14"/>
                <w:color w:val="auto"/>
              </w:rPr>
            </w:pP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320" w:type="dxa"/>
            <w:vAlign w:val="bottom"/>
            <w:shd w:val="clear" w:color="auto" w:fill="0063A6"/>
          </w:tcPr>
          <w:p>
            <w:pPr>
              <w:spacing w:after="0"/>
              <w:rPr>
                <w:sz w:val="14"/>
                <w:szCs w:val="1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320" w:type="dxa"/>
            <w:vAlign w:val="bottom"/>
            <w:shd w:val="clear" w:color="auto" w:fill="0063A6"/>
          </w:tcPr>
          <w:p>
            <w:pPr>
              <w:spacing w:after="0"/>
              <w:rPr>
                <w:sz w:val="14"/>
                <w:szCs w:val="14"/>
                <w:color w:val="auto"/>
              </w:rPr>
            </w:pPr>
          </w:p>
        </w:tc>
        <w:tc>
          <w:tcPr>
            <w:tcW w:w="23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Available for Future Issuance</w:t>
            </w:r>
          </w:p>
        </w:tc>
        <w:tc>
          <w:tcPr>
            <w:tcW w:w="1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9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300" w:type="dxa"/>
            <w:vAlign w:val="bottom"/>
            <w:shd w:val="clear" w:color="auto" w:fill="0063A6"/>
          </w:tcPr>
          <w:p>
            <w:pPr>
              <w:ind w:left="98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15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of</w:t>
            </w:r>
          </w:p>
        </w:tc>
        <w:tc>
          <w:tcPr>
            <w:tcW w:w="32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600" w:type="dxa"/>
            <w:vAlign w:val="bottom"/>
            <w:vMerge w:val="restart"/>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Exercise Price of</w:t>
            </w:r>
          </w:p>
        </w:tc>
        <w:tc>
          <w:tcPr>
            <w:tcW w:w="32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340" w:type="dxa"/>
            <w:vAlign w:val="bottom"/>
            <w:vMerge w:val="restart"/>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Under Equity Compensation</w:t>
            </w:r>
          </w:p>
        </w:tc>
        <w:tc>
          <w:tcPr>
            <w:tcW w:w="12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58"/>
        </w:trPr>
        <w:tc>
          <w:tcPr>
            <w:tcW w:w="1980" w:type="dxa"/>
            <w:vAlign w:val="bottom"/>
            <w:shd w:val="clear" w:color="auto" w:fill="0063A6"/>
          </w:tcPr>
          <w:p>
            <w:pPr>
              <w:spacing w:after="0"/>
              <w:rPr>
                <w:sz w:val="5"/>
                <w:szCs w:val="5"/>
                <w:color w:val="auto"/>
              </w:rPr>
            </w:pPr>
          </w:p>
        </w:tc>
        <w:tc>
          <w:tcPr>
            <w:tcW w:w="1300" w:type="dxa"/>
            <w:vAlign w:val="bottom"/>
            <w:shd w:val="clear" w:color="auto" w:fill="0063A6"/>
          </w:tcPr>
          <w:p>
            <w:pPr>
              <w:spacing w:after="0"/>
              <w:rPr>
                <w:sz w:val="5"/>
                <w:szCs w:val="5"/>
                <w:color w:val="auto"/>
              </w:rPr>
            </w:pPr>
          </w:p>
        </w:tc>
        <w:tc>
          <w:tcPr>
            <w:tcW w:w="1580" w:type="dxa"/>
            <w:vAlign w:val="bottom"/>
            <w:vMerge w:val="continue"/>
            <w:shd w:val="clear" w:color="auto" w:fill="0063A6"/>
          </w:tcPr>
          <w:p>
            <w:pPr>
              <w:spacing w:after="0"/>
              <w:rPr>
                <w:sz w:val="5"/>
                <w:szCs w:val="5"/>
                <w:color w:val="auto"/>
              </w:rPr>
            </w:pPr>
          </w:p>
        </w:tc>
        <w:tc>
          <w:tcPr>
            <w:tcW w:w="320" w:type="dxa"/>
            <w:vAlign w:val="bottom"/>
            <w:shd w:val="clear" w:color="auto" w:fill="0063A6"/>
          </w:tcPr>
          <w:p>
            <w:pPr>
              <w:spacing w:after="0"/>
              <w:rPr>
                <w:sz w:val="5"/>
                <w:szCs w:val="5"/>
                <w:color w:val="auto"/>
              </w:rPr>
            </w:pPr>
          </w:p>
        </w:tc>
        <w:tc>
          <w:tcPr>
            <w:tcW w:w="1600" w:type="dxa"/>
            <w:vAlign w:val="bottom"/>
            <w:vMerge w:val="continue"/>
            <w:shd w:val="clear" w:color="auto" w:fill="0063A6"/>
          </w:tcPr>
          <w:p>
            <w:pPr>
              <w:spacing w:after="0"/>
              <w:rPr>
                <w:sz w:val="5"/>
                <w:szCs w:val="5"/>
                <w:color w:val="auto"/>
              </w:rPr>
            </w:pPr>
          </w:p>
        </w:tc>
        <w:tc>
          <w:tcPr>
            <w:tcW w:w="320" w:type="dxa"/>
            <w:vAlign w:val="bottom"/>
            <w:shd w:val="clear" w:color="auto" w:fill="0063A6"/>
          </w:tcPr>
          <w:p>
            <w:pPr>
              <w:spacing w:after="0"/>
              <w:rPr>
                <w:sz w:val="5"/>
                <w:szCs w:val="5"/>
                <w:color w:val="auto"/>
              </w:rPr>
            </w:pPr>
          </w:p>
        </w:tc>
        <w:tc>
          <w:tcPr>
            <w:tcW w:w="2340" w:type="dxa"/>
            <w:vAlign w:val="bottom"/>
            <w:vMerge w:val="continue"/>
            <w:shd w:val="clear" w:color="auto" w:fill="0063A6"/>
          </w:tcPr>
          <w:p>
            <w:pPr>
              <w:spacing w:after="0"/>
              <w:rPr>
                <w:sz w:val="5"/>
                <w:szCs w:val="5"/>
                <w:color w:val="auto"/>
              </w:rPr>
            </w:pPr>
          </w:p>
        </w:tc>
        <w:tc>
          <w:tcPr>
            <w:tcW w:w="120" w:type="dxa"/>
            <w:vAlign w:val="bottom"/>
            <w:shd w:val="clear" w:color="auto" w:fill="0063A6"/>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0063A6"/>
          </w:tcPr>
          <w:p>
            <w:pPr>
              <w:spacing w:after="0"/>
              <w:rPr>
                <w:sz w:val="14"/>
                <w:szCs w:val="14"/>
                <w:color w:val="auto"/>
              </w:rPr>
            </w:pPr>
          </w:p>
        </w:tc>
        <w:tc>
          <w:tcPr>
            <w:tcW w:w="1300" w:type="dxa"/>
            <w:vAlign w:val="bottom"/>
            <w:shd w:val="clear" w:color="auto" w:fill="0063A6"/>
          </w:tcPr>
          <w:p>
            <w:pPr>
              <w:spacing w:after="0"/>
              <w:rPr>
                <w:sz w:val="14"/>
                <w:szCs w:val="14"/>
                <w:color w:val="auto"/>
              </w:rPr>
            </w:pPr>
          </w:p>
        </w:tc>
        <w:tc>
          <w:tcPr>
            <w:tcW w:w="15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20" w:type="dxa"/>
            <w:vAlign w:val="bottom"/>
            <w:shd w:val="clear" w:color="auto" w:fill="0063A6"/>
          </w:tcPr>
          <w:p>
            <w:pPr>
              <w:spacing w:after="0"/>
              <w:rPr>
                <w:sz w:val="14"/>
                <w:szCs w:val="1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20" w:type="dxa"/>
            <w:vAlign w:val="bottom"/>
            <w:shd w:val="clear" w:color="auto" w:fill="0063A6"/>
          </w:tcPr>
          <w:p>
            <w:pPr>
              <w:spacing w:after="0"/>
              <w:rPr>
                <w:sz w:val="14"/>
                <w:szCs w:val="14"/>
                <w:color w:val="auto"/>
              </w:rPr>
            </w:pPr>
          </w:p>
        </w:tc>
        <w:tc>
          <w:tcPr>
            <w:tcW w:w="234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Plans (Excluding Securities</w:t>
            </w:r>
          </w:p>
        </w:tc>
        <w:tc>
          <w:tcPr>
            <w:tcW w:w="1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Plan Category</w:t>
            </w:r>
          </w:p>
        </w:tc>
        <w:tc>
          <w:tcPr>
            <w:tcW w:w="1300" w:type="dxa"/>
            <w:vAlign w:val="bottom"/>
            <w:shd w:val="clear" w:color="auto" w:fill="0063A6"/>
          </w:tcPr>
          <w:p>
            <w:pPr>
              <w:spacing w:after="0"/>
              <w:rPr>
                <w:sz w:val="16"/>
                <w:szCs w:val="16"/>
                <w:color w:val="auto"/>
              </w:rPr>
            </w:pPr>
          </w:p>
        </w:tc>
        <w:tc>
          <w:tcPr>
            <w:tcW w:w="1580" w:type="dxa"/>
            <w:vAlign w:val="bottom"/>
            <w:shd w:val="clear" w:color="auto" w:fill="0063A6"/>
          </w:tcPr>
          <w:p>
            <w:pPr>
              <w:jc w:val="center"/>
              <w:ind w:left="28"/>
              <w:spacing w:after="0"/>
              <w:rPr>
                <w:sz w:val="20"/>
                <w:szCs w:val="20"/>
                <w:color w:val="auto"/>
              </w:rPr>
            </w:pPr>
            <w:r>
              <w:rPr>
                <w:rFonts w:ascii="Arial" w:cs="Arial" w:eastAsia="Arial" w:hAnsi="Arial"/>
                <w:sz w:val="14"/>
                <w:szCs w:val="14"/>
                <w:b w:val="1"/>
                <w:bCs w:val="1"/>
                <w:color w:val="FFFFFF"/>
              </w:rPr>
              <w:t>Warrants, and Rights</w:t>
            </w:r>
          </w:p>
        </w:tc>
        <w:tc>
          <w:tcPr>
            <w:tcW w:w="320" w:type="dxa"/>
            <w:vAlign w:val="bottom"/>
            <w:shd w:val="clear" w:color="auto" w:fill="0063A6"/>
          </w:tcPr>
          <w:p>
            <w:pPr>
              <w:spacing w:after="0"/>
              <w:rPr>
                <w:sz w:val="16"/>
                <w:szCs w:val="16"/>
                <w:color w:val="auto"/>
              </w:rPr>
            </w:pPr>
          </w:p>
        </w:tc>
        <w:tc>
          <w:tcPr>
            <w:tcW w:w="1600" w:type="dxa"/>
            <w:vAlign w:val="bottom"/>
            <w:shd w:val="clear" w:color="auto" w:fill="0063A6"/>
          </w:tcPr>
          <w:p>
            <w:pPr>
              <w:jc w:val="center"/>
              <w:ind w:left="48"/>
              <w:spacing w:after="0"/>
              <w:rPr>
                <w:sz w:val="20"/>
                <w:szCs w:val="20"/>
                <w:color w:val="auto"/>
              </w:rPr>
            </w:pPr>
            <w:r>
              <w:rPr>
                <w:rFonts w:ascii="Arial" w:cs="Arial" w:eastAsia="Arial" w:hAnsi="Arial"/>
                <w:sz w:val="14"/>
                <w:szCs w:val="14"/>
                <w:b w:val="1"/>
                <w:bCs w:val="1"/>
                <w:color w:val="FFFFFF"/>
              </w:rPr>
              <w:t>Warrants, and Rights</w:t>
            </w:r>
          </w:p>
        </w:tc>
        <w:tc>
          <w:tcPr>
            <w:tcW w:w="320" w:type="dxa"/>
            <w:vAlign w:val="bottom"/>
            <w:shd w:val="clear" w:color="auto" w:fill="0063A6"/>
          </w:tcPr>
          <w:p>
            <w:pPr>
              <w:spacing w:after="0"/>
              <w:rPr>
                <w:sz w:val="16"/>
                <w:szCs w:val="16"/>
                <w:color w:val="auto"/>
              </w:rPr>
            </w:pPr>
          </w:p>
        </w:tc>
        <w:tc>
          <w:tcPr>
            <w:tcW w:w="2340" w:type="dxa"/>
            <w:vAlign w:val="bottom"/>
            <w:shd w:val="clear" w:color="auto" w:fill="0063A6"/>
          </w:tcPr>
          <w:p>
            <w:pPr>
              <w:jc w:val="center"/>
              <w:ind w:left="48"/>
              <w:spacing w:after="0"/>
              <w:rPr>
                <w:sz w:val="20"/>
                <w:szCs w:val="20"/>
                <w:color w:val="auto"/>
              </w:rPr>
            </w:pPr>
            <w:r>
              <w:rPr>
                <w:rFonts w:ascii="Arial" w:cs="Arial" w:eastAsia="Arial" w:hAnsi="Arial"/>
                <w:sz w:val="14"/>
                <w:szCs w:val="14"/>
                <w:b w:val="1"/>
                <w:bCs w:val="1"/>
                <w:color w:val="FFFFFF"/>
              </w:rPr>
              <w:t>Reflected in the First Column)</w:t>
            </w:r>
          </w:p>
        </w:tc>
        <w:tc>
          <w:tcPr>
            <w:tcW w:w="12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980" w:type="dxa"/>
            <w:vAlign w:val="bottom"/>
            <w:shd w:val="clear" w:color="auto" w:fill="0063A6"/>
          </w:tcPr>
          <w:p>
            <w:pPr>
              <w:spacing w:after="0"/>
              <w:rPr>
                <w:sz w:val="6"/>
                <w:szCs w:val="6"/>
                <w:color w:val="auto"/>
              </w:rPr>
            </w:pPr>
          </w:p>
        </w:tc>
        <w:tc>
          <w:tcPr>
            <w:tcW w:w="1300" w:type="dxa"/>
            <w:vAlign w:val="bottom"/>
            <w:shd w:val="clear" w:color="auto" w:fill="0063A6"/>
          </w:tcPr>
          <w:p>
            <w:pPr>
              <w:spacing w:after="0"/>
              <w:rPr>
                <w:sz w:val="6"/>
                <w:szCs w:val="6"/>
                <w:color w:val="auto"/>
              </w:rPr>
            </w:pPr>
          </w:p>
        </w:tc>
        <w:tc>
          <w:tcPr>
            <w:tcW w:w="1580" w:type="dxa"/>
            <w:vAlign w:val="bottom"/>
            <w:shd w:val="clear" w:color="auto" w:fill="0063A6"/>
          </w:tcPr>
          <w:p>
            <w:pPr>
              <w:spacing w:after="0"/>
              <w:rPr>
                <w:sz w:val="6"/>
                <w:szCs w:val="6"/>
                <w:color w:val="auto"/>
              </w:rPr>
            </w:pPr>
          </w:p>
        </w:tc>
        <w:tc>
          <w:tcPr>
            <w:tcW w:w="320" w:type="dxa"/>
            <w:vAlign w:val="bottom"/>
            <w:shd w:val="clear" w:color="auto" w:fill="0063A6"/>
          </w:tcPr>
          <w:p>
            <w:pPr>
              <w:spacing w:after="0"/>
              <w:rPr>
                <w:sz w:val="6"/>
                <w:szCs w:val="6"/>
                <w:color w:val="auto"/>
              </w:rPr>
            </w:pPr>
          </w:p>
        </w:tc>
        <w:tc>
          <w:tcPr>
            <w:tcW w:w="1600" w:type="dxa"/>
            <w:vAlign w:val="bottom"/>
            <w:shd w:val="clear" w:color="auto" w:fill="0063A6"/>
          </w:tcPr>
          <w:p>
            <w:pPr>
              <w:spacing w:after="0"/>
              <w:rPr>
                <w:sz w:val="6"/>
                <w:szCs w:val="6"/>
                <w:color w:val="auto"/>
              </w:rPr>
            </w:pPr>
          </w:p>
        </w:tc>
        <w:tc>
          <w:tcPr>
            <w:tcW w:w="320" w:type="dxa"/>
            <w:vAlign w:val="bottom"/>
            <w:shd w:val="clear" w:color="auto" w:fill="0063A6"/>
          </w:tcPr>
          <w:p>
            <w:pPr>
              <w:spacing w:after="0"/>
              <w:rPr>
                <w:sz w:val="6"/>
                <w:szCs w:val="6"/>
                <w:color w:val="auto"/>
              </w:rPr>
            </w:pPr>
          </w:p>
        </w:tc>
        <w:tc>
          <w:tcPr>
            <w:tcW w:w="2340" w:type="dxa"/>
            <w:vAlign w:val="bottom"/>
            <w:shd w:val="clear" w:color="auto" w:fill="0063A6"/>
          </w:tcPr>
          <w:p>
            <w:pPr>
              <w:spacing w:after="0"/>
              <w:rPr>
                <w:sz w:val="6"/>
                <w:szCs w:val="6"/>
                <w:color w:val="auto"/>
              </w:rPr>
            </w:pPr>
          </w:p>
        </w:tc>
        <w:tc>
          <w:tcPr>
            <w:tcW w:w="12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940" w:type="dxa"/>
            <w:vAlign w:val="bottom"/>
            <w:shd w:val="clear" w:color="auto" w:fill="F2F2F2"/>
          </w:tcPr>
          <w:p>
            <w:pPr>
              <w:ind w:left="60"/>
              <w:spacing w:after="0"/>
              <w:rPr>
                <w:sz w:val="20"/>
                <w:szCs w:val="20"/>
                <w:color w:val="auto"/>
              </w:rPr>
            </w:pPr>
            <w:r>
              <w:rPr>
                <w:rFonts w:ascii="Arial" w:cs="Arial" w:eastAsia="Arial" w:hAnsi="Arial"/>
                <w:sz w:val="16"/>
                <w:szCs w:val="16"/>
                <w:color w:val="auto"/>
              </w:rPr>
              <w:t>Equity compensation plans approved by</w:t>
            </w:r>
          </w:p>
        </w:tc>
        <w:tc>
          <w:tcPr>
            <w:tcW w:w="460" w:type="dxa"/>
            <w:vAlign w:val="bottom"/>
            <w:shd w:val="clear" w:color="auto" w:fill="F2F2F2"/>
          </w:tcPr>
          <w:p>
            <w:pPr>
              <w:spacing w:after="0"/>
              <w:rPr>
                <w:sz w:val="22"/>
                <w:szCs w:val="22"/>
                <w:color w:val="auto"/>
              </w:rPr>
            </w:pPr>
          </w:p>
        </w:tc>
        <w:tc>
          <w:tcPr>
            <w:tcW w:w="1340" w:type="dxa"/>
            <w:vAlign w:val="bottom"/>
            <w:shd w:val="clear" w:color="auto" w:fill="F2F2F2"/>
          </w:tcPr>
          <w:p>
            <w:pPr>
              <w:spacing w:after="0"/>
              <w:rPr>
                <w:sz w:val="22"/>
                <w:szCs w:val="22"/>
                <w:color w:val="auto"/>
              </w:rPr>
            </w:pPr>
          </w:p>
        </w:tc>
        <w:tc>
          <w:tcPr>
            <w:tcW w:w="680" w:type="dxa"/>
            <w:vAlign w:val="bottom"/>
            <w:shd w:val="clear" w:color="auto" w:fill="F2F2F2"/>
          </w:tcPr>
          <w:p>
            <w:pPr>
              <w:spacing w:after="0"/>
              <w:rPr>
                <w:sz w:val="22"/>
                <w:szCs w:val="22"/>
                <w:color w:val="auto"/>
              </w:rPr>
            </w:pPr>
          </w:p>
        </w:tc>
        <w:tc>
          <w:tcPr>
            <w:tcW w:w="114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240" w:type="dxa"/>
            <w:vAlign w:val="bottom"/>
            <w:shd w:val="clear" w:color="auto" w:fill="F2F2F2"/>
          </w:tcPr>
          <w:p>
            <w:pPr>
              <w:spacing w:after="0"/>
              <w:rPr>
                <w:sz w:val="22"/>
                <w:szCs w:val="22"/>
                <w:color w:val="auto"/>
              </w:rPr>
            </w:pPr>
          </w:p>
        </w:tc>
        <w:tc>
          <w:tcPr>
            <w:tcW w:w="480" w:type="dxa"/>
            <w:vAlign w:val="bottom"/>
            <w:shd w:val="clear" w:color="auto" w:fill="F2F2F2"/>
          </w:tcPr>
          <w:p>
            <w:pPr>
              <w:spacing w:after="0"/>
              <w:rPr>
                <w:sz w:val="22"/>
                <w:szCs w:val="22"/>
                <w:color w:val="auto"/>
              </w:rPr>
            </w:pPr>
          </w:p>
        </w:tc>
        <w:tc>
          <w:tcPr>
            <w:tcW w:w="42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940" w:type="dxa"/>
            <w:vAlign w:val="bottom"/>
            <w:shd w:val="clear" w:color="auto" w:fill="F2F2F2"/>
          </w:tcPr>
          <w:p>
            <w:pPr>
              <w:spacing w:after="0"/>
              <w:rPr>
                <w:sz w:val="20"/>
                <w:szCs w:val="20"/>
                <w:color w:val="auto"/>
              </w:rPr>
            </w:pPr>
            <w:r>
              <w:rPr>
                <w:rFonts w:ascii="Arial" w:cs="Arial" w:eastAsia="Arial" w:hAnsi="Arial"/>
                <w:sz w:val="2"/>
                <w:szCs w:val="2"/>
                <w:color w:val="auto"/>
              </w:rPr>
              <w:t>​</w:t>
            </w:r>
          </w:p>
        </w:tc>
        <w:tc>
          <w:tcPr>
            <w:tcW w:w="460" w:type="dxa"/>
            <w:vAlign w:val="bottom"/>
            <w:shd w:val="clear" w:color="auto" w:fill="F2F2F2"/>
          </w:tcPr>
          <w:p>
            <w:pPr>
              <w:ind w:left="20"/>
              <w:spacing w:after="0"/>
              <w:rPr>
                <w:sz w:val="20"/>
                <w:szCs w:val="20"/>
                <w:color w:val="auto"/>
              </w:rPr>
            </w:pPr>
            <w:r>
              <w:rPr>
                <w:rFonts w:ascii="Arial" w:cs="Arial" w:eastAsia="Arial" w:hAnsi="Arial"/>
                <w:sz w:val="2"/>
                <w:szCs w:val="2"/>
                <w:color w:val="auto"/>
                <w:w w:val="4294942296"/>
              </w:rPr>
              <w:t>​​</w:t>
            </w:r>
          </w:p>
        </w:tc>
        <w:tc>
          <w:tcPr>
            <w:tcW w:w="1340" w:type="dxa"/>
            <w:vAlign w:val="bottom"/>
            <w:vMerge w:val="restart"/>
            <w:shd w:val="clear" w:color="auto" w:fill="F2F2F2"/>
          </w:tcPr>
          <w:p>
            <w:pPr>
              <w:jc w:val="right"/>
              <w:ind w:right="59"/>
              <w:spacing w:after="0" w:line="291" w:lineRule="exact"/>
              <w:rPr>
                <w:sz w:val="20"/>
                <w:szCs w:val="20"/>
                <w:color w:val="auto"/>
              </w:rPr>
            </w:pPr>
            <w:r>
              <w:rPr>
                <w:rFonts w:ascii="Arial" w:cs="Arial" w:eastAsia="Arial" w:hAnsi="Arial"/>
                <w:sz w:val="16"/>
                <w:szCs w:val="16"/>
                <w:color w:val="auto"/>
              </w:rPr>
              <w:t>34,910,447</w:t>
            </w:r>
            <w:r>
              <w:rPr>
                <w:rFonts w:ascii="Arial" w:cs="Arial" w:eastAsia="Arial" w:hAnsi="Arial"/>
                <w:sz w:val="26"/>
                <w:szCs w:val="26"/>
                <w:color w:val="auto"/>
                <w:vertAlign w:val="superscript"/>
              </w:rPr>
              <w:t>(2)</w:t>
            </w:r>
          </w:p>
        </w:tc>
        <w:tc>
          <w:tcPr>
            <w:tcW w:w="680" w:type="dxa"/>
            <w:vAlign w:val="bottom"/>
            <w:shd w:val="clear" w:color="auto" w:fill="F2F2F2"/>
          </w:tcPr>
          <w:p>
            <w:pPr>
              <w:ind w:left="140"/>
              <w:spacing w:after="0"/>
              <w:rPr>
                <w:sz w:val="20"/>
                <w:szCs w:val="20"/>
                <w:color w:val="auto"/>
              </w:rPr>
            </w:pPr>
            <w:r>
              <w:rPr>
                <w:rFonts w:ascii="Arial" w:cs="Arial" w:eastAsia="Arial" w:hAnsi="Arial"/>
                <w:sz w:val="2"/>
                <w:szCs w:val="2"/>
                <w:color w:val="auto"/>
              </w:rPr>
              <w:t>​​</w:t>
            </w:r>
          </w:p>
        </w:tc>
        <w:tc>
          <w:tcPr>
            <w:tcW w:w="1140" w:type="dxa"/>
            <w:vAlign w:val="bottom"/>
            <w:vMerge w:val="restart"/>
            <w:shd w:val="clear" w:color="auto" w:fill="F2F2F2"/>
          </w:tcPr>
          <w:p>
            <w:pPr>
              <w:jc w:val="right"/>
              <w:ind w:right="159"/>
              <w:spacing w:after="0" w:line="291" w:lineRule="exact"/>
              <w:rPr>
                <w:sz w:val="20"/>
                <w:szCs w:val="20"/>
                <w:color w:val="auto"/>
              </w:rPr>
            </w:pPr>
            <w:r>
              <w:rPr>
                <w:rFonts w:ascii="Arial" w:cs="Arial" w:eastAsia="Arial" w:hAnsi="Arial"/>
                <w:sz w:val="16"/>
                <w:szCs w:val="16"/>
                <w:color w:val="auto"/>
              </w:rPr>
              <w:t>17.98</w:t>
            </w:r>
            <w:r>
              <w:rPr>
                <w:rFonts w:ascii="Arial" w:cs="Arial" w:eastAsia="Arial" w:hAnsi="Arial"/>
                <w:sz w:val="26"/>
                <w:szCs w:val="26"/>
                <w:color w:val="auto"/>
                <w:vertAlign w:val="superscript"/>
              </w:rPr>
              <w:t>(3)</w:t>
            </w:r>
          </w:p>
        </w:tc>
        <w:tc>
          <w:tcPr>
            <w:tcW w:w="860" w:type="dxa"/>
            <w:vAlign w:val="bottom"/>
            <w:shd w:val="clear" w:color="auto" w:fill="F2F2F2"/>
          </w:tcPr>
          <w:p>
            <w:pPr>
              <w:ind w:left="220"/>
              <w:spacing w:after="0"/>
              <w:rPr>
                <w:sz w:val="20"/>
                <w:szCs w:val="20"/>
                <w:color w:val="auto"/>
              </w:rPr>
            </w:pPr>
            <w:r>
              <w:rPr>
                <w:rFonts w:ascii="Arial" w:cs="Arial" w:eastAsia="Arial" w:hAnsi="Arial"/>
                <w:sz w:val="2"/>
                <w:szCs w:val="2"/>
                <w:color w:val="auto"/>
              </w:rPr>
              <w:t>​​</w:t>
            </w:r>
          </w:p>
        </w:tc>
        <w:tc>
          <w:tcPr>
            <w:tcW w:w="1240" w:type="dxa"/>
            <w:vAlign w:val="bottom"/>
            <w:shd w:val="clear" w:color="auto" w:fill="F2F2F2"/>
          </w:tcPr>
          <w:p>
            <w:pPr>
              <w:spacing w:after="0"/>
              <w:rPr>
                <w:sz w:val="2"/>
                <w:szCs w:val="2"/>
                <w:color w:val="auto"/>
              </w:rPr>
            </w:pPr>
          </w:p>
        </w:tc>
        <w:tc>
          <w:tcPr>
            <w:tcW w:w="480" w:type="dxa"/>
            <w:vAlign w:val="bottom"/>
            <w:shd w:val="clear" w:color="auto" w:fill="F2F2F2"/>
          </w:tcPr>
          <w:p>
            <w:pPr>
              <w:spacing w:after="0"/>
              <w:rPr>
                <w:sz w:val="2"/>
                <w:szCs w:val="2"/>
                <w:color w:val="auto"/>
              </w:rPr>
            </w:pPr>
          </w:p>
        </w:tc>
        <w:tc>
          <w:tcPr>
            <w:tcW w:w="420" w:type="dxa"/>
            <w:vAlign w:val="bottom"/>
            <w:shd w:val="clear" w:color="auto" w:fill="F2F2F2"/>
          </w:tcPr>
          <w:p>
            <w:pPr>
              <w:ind w:left="320"/>
              <w:spacing w:after="0"/>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257"/>
        </w:trPr>
        <w:tc>
          <w:tcPr>
            <w:tcW w:w="2940" w:type="dxa"/>
            <w:vAlign w:val="bottom"/>
            <w:shd w:val="clear" w:color="auto" w:fill="F2F2F2"/>
          </w:tcPr>
          <w:p>
            <w:pPr>
              <w:ind w:left="60"/>
              <w:spacing w:after="0" w:line="256"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(1)</w:t>
            </w:r>
          </w:p>
        </w:tc>
        <w:tc>
          <w:tcPr>
            <w:tcW w:w="460" w:type="dxa"/>
            <w:vAlign w:val="bottom"/>
            <w:shd w:val="clear" w:color="auto" w:fill="F2F2F2"/>
          </w:tcPr>
          <w:p>
            <w:pPr>
              <w:spacing w:after="0"/>
              <w:rPr>
                <w:sz w:val="22"/>
                <w:szCs w:val="22"/>
                <w:color w:val="auto"/>
              </w:rPr>
            </w:pPr>
          </w:p>
        </w:tc>
        <w:tc>
          <w:tcPr>
            <w:tcW w:w="1340" w:type="dxa"/>
            <w:vAlign w:val="bottom"/>
            <w:vMerge w:val="continue"/>
            <w:shd w:val="clear" w:color="auto" w:fill="F2F2F2"/>
          </w:tcPr>
          <w:p>
            <w:pPr>
              <w:spacing w:after="0"/>
              <w:rPr>
                <w:sz w:val="22"/>
                <w:szCs w:val="22"/>
                <w:color w:val="auto"/>
              </w:rPr>
            </w:pPr>
          </w:p>
        </w:tc>
        <w:tc>
          <w:tcPr>
            <w:tcW w:w="680" w:type="dxa"/>
            <w:vAlign w:val="bottom"/>
            <w:shd w:val="clear" w:color="auto" w:fill="F2F2F2"/>
          </w:tcPr>
          <w:p>
            <w:pPr>
              <w:spacing w:after="0"/>
              <w:rPr>
                <w:sz w:val="22"/>
                <w:szCs w:val="22"/>
                <w:color w:val="auto"/>
              </w:rPr>
            </w:pPr>
          </w:p>
        </w:tc>
        <w:tc>
          <w:tcPr>
            <w:tcW w:w="1140" w:type="dxa"/>
            <w:vAlign w:val="bottom"/>
            <w:vMerge w:val="continue"/>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240" w:type="dxa"/>
            <w:vAlign w:val="bottom"/>
            <w:shd w:val="clear" w:color="auto" w:fill="F2F2F2"/>
          </w:tcPr>
          <w:p>
            <w:pPr>
              <w:ind w:left="420"/>
              <w:spacing w:after="0"/>
              <w:rPr>
                <w:sz w:val="20"/>
                <w:szCs w:val="20"/>
                <w:color w:val="auto"/>
              </w:rPr>
            </w:pPr>
            <w:r>
              <w:rPr>
                <w:rFonts w:ascii="Arial" w:cs="Arial" w:eastAsia="Arial" w:hAnsi="Arial"/>
                <w:sz w:val="16"/>
                <w:szCs w:val="16"/>
                <w:color w:val="auto"/>
                <w:w w:val="99"/>
              </w:rPr>
              <w:t>62,805,974​</w:t>
            </w:r>
          </w:p>
        </w:tc>
        <w:tc>
          <w:tcPr>
            <w:tcW w:w="480" w:type="dxa"/>
            <w:vAlign w:val="bottom"/>
            <w:shd w:val="clear" w:color="auto" w:fill="F2F2F2"/>
          </w:tcPr>
          <w:p>
            <w:pPr>
              <w:jc w:val="right"/>
              <w:ind w:right="253"/>
              <w:spacing w:after="0"/>
              <w:rPr>
                <w:sz w:val="20"/>
                <w:szCs w:val="20"/>
                <w:color w:val="auto"/>
              </w:rPr>
            </w:pPr>
            <w:r>
              <w:rPr>
                <w:rFonts w:ascii="Arial" w:cs="Arial" w:eastAsia="Arial" w:hAnsi="Arial"/>
                <w:sz w:val="13"/>
                <w:szCs w:val="13"/>
                <w:color w:val="auto"/>
                <w:w w:val="87"/>
              </w:rPr>
              <w:t>(4)</w:t>
            </w:r>
          </w:p>
        </w:tc>
        <w:tc>
          <w:tcPr>
            <w:tcW w:w="42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44" w:right="380" w:hanging="244"/>
        <w:spacing w:after="0" w:line="203"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w:t>
      </w:r>
    </w:p>
    <w:p>
      <w:pPr>
        <w:spacing w:after="0" w:line="3" w:lineRule="exact"/>
        <w:rPr>
          <w:rFonts w:ascii="Arial" w:cs="Arial" w:eastAsia="Arial" w:hAnsi="Arial"/>
          <w:sz w:val="22"/>
          <w:szCs w:val="22"/>
          <w:color w:val="auto"/>
          <w:vertAlign w:val="superscript"/>
        </w:rPr>
      </w:pPr>
    </w:p>
    <w:p>
      <w:pPr>
        <w:ind w:left="244" w:right="560" w:hanging="244"/>
        <w:spacing w:after="0" w:line="193"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34,910,447 shares subject to options and RSUs outstanding as of December 31, 2022 that were issued under the 2008 Plan and 2018 Plan.</w:t>
      </w:r>
    </w:p>
    <w:p>
      <w:pPr>
        <w:spacing w:after="0" w:line="1" w:lineRule="exact"/>
        <w:rPr>
          <w:rFonts w:ascii="Arial" w:cs="Arial" w:eastAsia="Arial" w:hAnsi="Arial"/>
          <w:sz w:val="22"/>
          <w:szCs w:val="22"/>
          <w:color w:val="auto"/>
          <w:vertAlign w:val="superscript"/>
        </w:rPr>
      </w:pPr>
    </w:p>
    <w:p>
      <w:pPr>
        <w:ind w:left="244" w:hanging="244"/>
        <w:spacing w:after="0" w:line="197" w:lineRule="auto"/>
        <w:tabs>
          <w:tab w:leader="none" w:pos="244"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RSUs, which do not have an exercise price, are excluded in the calculation of weighted-average exercise price.</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As of December 31, 2022, an aggregate of 97,716,421 shares of Class A common stock were available for issuance under our 2018 Plan.</w:t>
      </w:r>
    </w:p>
    <w:p>
      <w:pPr>
        <w:spacing w:after="0" w:line="3" w:lineRule="exact"/>
        <w:rPr>
          <w:rFonts w:ascii="Arial" w:cs="Arial" w:eastAsia="Arial" w:hAnsi="Arial"/>
          <w:sz w:val="19"/>
          <w:szCs w:val="19"/>
          <w:color w:val="auto"/>
          <w:vertAlign w:val="superscript"/>
        </w:rPr>
      </w:pPr>
    </w:p>
    <w:p>
      <w:pPr>
        <w:ind w:left="244" w:right="160" w:hanging="244"/>
        <w:spacing w:after="0" w:line="214" w:lineRule="auto"/>
        <w:tabs>
          <w:tab w:leader="none" w:pos="244"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This table does not include equity awards that have been assumed by the Company in connection with the acquisition of other companies. As of December 31, 2022, the following assumed equity awards were outstanding: 219,497 shares issuable upon exercise of outstanding options and 8,365 shares issuable upon vesting of restricted stock units. The weighted average exercise price of such outstanding options was $6.07 per share. No additional equity awards may be granted under any assumed arrangement.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60 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118" w:right="1179" w:bottom="1440" w:gutter="0" w:footer="0" w:header="0"/>
        </w:sectPr>
      </w:pPr>
    </w:p>
    <w:bookmarkStart w:id="64" w:name="page65"/>
    <w:bookmarkEnd w:id="64"/>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right="1020"/>
        <w:spacing w:after="0" w:line="260" w:lineRule="auto"/>
        <w:rPr>
          <w:sz w:val="20"/>
          <w:szCs w:val="20"/>
          <w:color w:val="auto"/>
        </w:rPr>
      </w:pPr>
      <w:r>
        <w:rPr>
          <w:rFonts w:ascii="Arial" w:cs="Arial" w:eastAsia="Arial" w:hAnsi="Arial"/>
          <w:sz w:val="32"/>
          <w:szCs w:val="32"/>
          <w:color w:val="0063A6"/>
        </w:rPr>
        <w:t>SECURITY OWNERSHIP OF CERTAIN BENEFICIAL OWNERS AND MANAGEMENT</w:t>
      </w:r>
    </w:p>
    <w:p>
      <w:pPr>
        <w:spacing w:after="0" w:line="119" w:lineRule="exact"/>
        <w:rPr>
          <w:sz w:val="20"/>
          <w:szCs w:val="20"/>
          <w:color w:val="auto"/>
        </w:rPr>
      </w:pPr>
    </w:p>
    <w:p>
      <w:pPr>
        <w:ind w:left="720" w:right="880"/>
        <w:spacing w:after="0" w:line="260"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23, 2023 for:</w:t>
      </w:r>
    </w:p>
    <w:p>
      <w:pPr>
        <w:spacing w:after="0" w:line="141" w:lineRule="exact"/>
        <w:rPr>
          <w:sz w:val="20"/>
          <w:szCs w:val="20"/>
          <w:color w:val="auto"/>
        </w:rPr>
      </w:pPr>
    </w:p>
    <w:p>
      <w:pPr>
        <w:ind w:left="1000" w:hanging="284"/>
        <w:spacing w:after="0"/>
        <w:tabs>
          <w:tab w:leader="none" w:pos="1000" w:val="left"/>
        </w:tabs>
        <w:numPr>
          <w:ilvl w:val="0"/>
          <w:numId w:val="71"/>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71"/>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71"/>
        </w:numPr>
        <w:rPr>
          <w:rFonts w:ascii="Arial" w:cs="Arial" w:eastAsia="Arial" w:hAnsi="Arial"/>
          <w:sz w:val="16"/>
          <w:szCs w:val="16"/>
          <w:color w:val="0063A6"/>
        </w:rPr>
      </w:pPr>
      <w:r>
        <w:rPr>
          <w:rFonts w:ascii="Arial" w:cs="Arial" w:eastAsia="Arial" w:hAnsi="Arial"/>
          <w:sz w:val="16"/>
          <w:szCs w:val="16"/>
          <w:color w:val="auto"/>
        </w:rPr>
        <w:t>all of our current directors, named executive officers and executive officers as a group; and</w:t>
      </w:r>
    </w:p>
    <w:p>
      <w:pPr>
        <w:spacing w:after="0" w:line="167" w:lineRule="exact"/>
        <w:rPr>
          <w:rFonts w:ascii="Arial" w:cs="Arial" w:eastAsia="Arial" w:hAnsi="Arial"/>
          <w:sz w:val="16"/>
          <w:szCs w:val="16"/>
          <w:color w:val="0063A6"/>
        </w:rPr>
      </w:pPr>
    </w:p>
    <w:p>
      <w:pPr>
        <w:ind w:left="1000" w:hanging="284"/>
        <w:spacing w:after="0"/>
        <w:tabs>
          <w:tab w:leader="none" w:pos="1000" w:val="left"/>
        </w:tabs>
        <w:numPr>
          <w:ilvl w:val="0"/>
          <w:numId w:val="71"/>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67" w:lineRule="exact"/>
        <w:rPr>
          <w:sz w:val="20"/>
          <w:szCs w:val="20"/>
          <w:color w:val="auto"/>
        </w:rPr>
      </w:pPr>
    </w:p>
    <w:p>
      <w:pPr>
        <w:ind w:left="720" w:right="78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8" w:lineRule="exact"/>
        <w:rPr>
          <w:sz w:val="20"/>
          <w:szCs w:val="20"/>
          <w:color w:val="auto"/>
        </w:rPr>
      </w:pPr>
    </w:p>
    <w:p>
      <w:pPr>
        <w:ind w:left="720" w:right="760"/>
        <w:spacing w:after="0" w:line="246" w:lineRule="auto"/>
        <w:rPr>
          <w:sz w:val="20"/>
          <w:szCs w:val="20"/>
          <w:color w:val="auto"/>
        </w:rPr>
      </w:pPr>
      <w:r>
        <w:rPr>
          <w:rFonts w:ascii="Arial" w:cs="Arial" w:eastAsia="Arial" w:hAnsi="Arial"/>
          <w:sz w:val="16"/>
          <w:szCs w:val="16"/>
          <w:color w:val="auto"/>
        </w:rPr>
        <w:t>We have based our calculation of the percentage of beneficial ownership on 271,962,132 shares of our Class A common stock, 81,676,431 shares of our Class B common stock, and no shares of our Class C common stock outstanding as of March 23, 2023. We have deemed shares of our common stock subject to stock options that are currently exercisable or exercisable within 60 days of March 23, 2023 or issuable pursuant to RSUs which are subject to vesting and settlement conditions expected to occur within</w:t>
      </w:r>
    </w:p>
    <w:p>
      <w:pPr>
        <w:spacing w:after="0" w:line="2" w:lineRule="exact"/>
        <w:rPr>
          <w:sz w:val="20"/>
          <w:szCs w:val="20"/>
          <w:color w:val="auto"/>
        </w:rPr>
      </w:pPr>
    </w:p>
    <w:p>
      <w:pPr>
        <w:ind w:left="720" w:right="760"/>
        <w:spacing w:after="0" w:line="253" w:lineRule="auto"/>
        <w:rPr>
          <w:sz w:val="20"/>
          <w:szCs w:val="20"/>
          <w:color w:val="auto"/>
        </w:rPr>
      </w:pPr>
      <w:r>
        <w:rPr>
          <w:rFonts w:ascii="Arial" w:cs="Arial" w:eastAsia="Arial" w:hAnsi="Arial"/>
          <w:sz w:val="16"/>
          <w:szCs w:val="16"/>
          <w:color w:val="auto"/>
        </w:rPr>
        <w:t>60 days of March 23, 2023,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47" w:lineRule="exact"/>
        <w:rPr>
          <w:sz w:val="20"/>
          <w:szCs w:val="20"/>
          <w:color w:val="auto"/>
        </w:rPr>
      </w:pPr>
    </w:p>
    <w:p>
      <w:pPr>
        <w:jc w:val="both"/>
        <w:ind w:left="720" w:right="1020"/>
        <w:spacing w:after="0" w:line="253"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32385</wp:posOffset>
            </wp:positionV>
            <wp:extent cx="6077585" cy="3960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7585" cy="396049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 w:type="dxa"/>
            <w:vAlign w:val="bottom"/>
          </w:tcPr>
          <w:p>
            <w:pPr>
              <w:spacing w:after="0"/>
              <w:rPr>
                <w:sz w:val="18"/>
                <w:szCs w:val="18"/>
                <w:color w:val="auto"/>
              </w:rPr>
            </w:pPr>
          </w:p>
        </w:tc>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0063A6"/>
          </w:tcPr>
          <w:p>
            <w:pPr>
              <w:spacing w:after="0"/>
              <w:rPr>
                <w:sz w:val="18"/>
                <w:szCs w:val="18"/>
                <w:color w:val="auto"/>
              </w:rPr>
            </w:pPr>
          </w:p>
        </w:tc>
        <w:tc>
          <w:tcPr>
            <w:tcW w:w="18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spacing w:after="0"/>
              <w:rPr>
                <w:sz w:val="18"/>
                <w:szCs w:val="18"/>
                <w:color w:val="auto"/>
              </w:rPr>
            </w:pPr>
          </w:p>
        </w:tc>
        <w:tc>
          <w:tcPr>
            <w:tcW w:w="3400" w:type="dxa"/>
            <w:vAlign w:val="bottom"/>
            <w:gridSpan w:val="8"/>
            <w:shd w:val="clear" w:color="auto" w:fill="0063A6"/>
          </w:tcPr>
          <w:p>
            <w:pPr>
              <w:ind w:left="440"/>
              <w:spacing w:after="0"/>
              <w:rPr>
                <w:sz w:val="20"/>
                <w:szCs w:val="20"/>
                <w:color w:val="auto"/>
              </w:rPr>
            </w:pPr>
            <w:r>
              <w:rPr>
                <w:rFonts w:ascii="Arial" w:cs="Arial" w:eastAsia="Arial" w:hAnsi="Arial"/>
                <w:sz w:val="14"/>
                <w:szCs w:val="14"/>
                <w:b w:val="1"/>
                <w:bCs w:val="1"/>
                <w:color w:val="FFFFFF"/>
              </w:rPr>
              <w:t>Amount and nature of beneficial ownership</w:t>
            </w:r>
          </w:p>
        </w:tc>
        <w:tc>
          <w:tcPr>
            <w:tcW w:w="140" w:type="dxa"/>
            <w:vAlign w:val="bottom"/>
            <w:shd w:val="clear" w:color="auto" w:fill="0063A6"/>
          </w:tcPr>
          <w:p>
            <w:pPr>
              <w:spacing w:after="0"/>
              <w:rPr>
                <w:sz w:val="18"/>
                <w:szCs w:val="18"/>
                <w:color w:val="auto"/>
              </w:rPr>
            </w:pPr>
          </w:p>
        </w:tc>
        <w:tc>
          <w:tcPr>
            <w:tcW w:w="500" w:type="dxa"/>
            <w:vAlign w:val="bottom"/>
            <w:shd w:val="clear" w:color="auto" w:fill="0063A6"/>
          </w:tcPr>
          <w:p>
            <w:pPr>
              <w:spacing w:after="0"/>
              <w:rPr>
                <w:sz w:val="18"/>
                <w:szCs w:val="18"/>
                <w:color w:val="auto"/>
              </w:rPr>
            </w:pPr>
          </w:p>
        </w:tc>
        <w:tc>
          <w:tcPr>
            <w:tcW w:w="240" w:type="dxa"/>
            <w:vAlign w:val="bottom"/>
            <w:shd w:val="clear" w:color="auto" w:fill="0063A6"/>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0063A6"/>
          </w:tcPr>
          <w:p>
            <w:pPr>
              <w:spacing w:after="0"/>
              <w:rPr>
                <w:sz w:val="18"/>
                <w:szCs w:val="18"/>
                <w:color w:val="auto"/>
              </w:rPr>
            </w:pPr>
          </w:p>
        </w:tc>
        <w:tc>
          <w:tcPr>
            <w:tcW w:w="98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0" w:type="dxa"/>
            <w:vAlign w:val="bottom"/>
            <w:shd w:val="clear" w:color="auto" w:fill="0063A6"/>
          </w:tcPr>
          <w:p>
            <w:pPr>
              <w:spacing w:after="0"/>
              <w:rPr>
                <w:sz w:val="21"/>
                <w:szCs w:val="21"/>
                <w:color w:val="auto"/>
              </w:rPr>
            </w:pPr>
          </w:p>
        </w:tc>
        <w:tc>
          <w:tcPr>
            <w:tcW w:w="3180" w:type="dxa"/>
            <w:vAlign w:val="bottom"/>
            <w:shd w:val="clear" w:color="auto" w:fill="0063A6"/>
          </w:tcPr>
          <w:p>
            <w:pPr>
              <w:spacing w:after="0"/>
              <w:rPr>
                <w:sz w:val="21"/>
                <w:szCs w:val="21"/>
                <w:color w:val="auto"/>
              </w:rPr>
            </w:pPr>
          </w:p>
        </w:tc>
        <w:tc>
          <w:tcPr>
            <w:tcW w:w="180" w:type="dxa"/>
            <w:vAlign w:val="bottom"/>
            <w:shd w:val="clear" w:color="auto" w:fill="0063A6"/>
          </w:tcPr>
          <w:p>
            <w:pPr>
              <w:spacing w:after="0"/>
              <w:rPr>
                <w:sz w:val="21"/>
                <w:szCs w:val="21"/>
                <w:color w:val="auto"/>
              </w:rPr>
            </w:pPr>
          </w:p>
        </w:tc>
        <w:tc>
          <w:tcPr>
            <w:tcW w:w="200" w:type="dxa"/>
            <w:vAlign w:val="bottom"/>
            <w:shd w:val="clear" w:color="auto" w:fill="0063A6"/>
          </w:tcPr>
          <w:p>
            <w:pPr>
              <w:spacing w:after="0"/>
              <w:rPr>
                <w:sz w:val="21"/>
                <w:szCs w:val="21"/>
                <w:color w:val="auto"/>
              </w:rPr>
            </w:pPr>
          </w:p>
        </w:tc>
        <w:tc>
          <w:tcPr>
            <w:tcW w:w="340" w:type="dxa"/>
            <w:vAlign w:val="bottom"/>
            <w:shd w:val="clear" w:color="auto" w:fill="0063A6"/>
          </w:tcPr>
          <w:p>
            <w:pPr>
              <w:spacing w:after="0"/>
              <w:rPr>
                <w:sz w:val="21"/>
                <w:szCs w:val="21"/>
                <w:color w:val="auto"/>
              </w:rPr>
            </w:pPr>
          </w:p>
        </w:tc>
        <w:tc>
          <w:tcPr>
            <w:tcW w:w="860" w:type="dxa"/>
            <w:vAlign w:val="bottom"/>
            <w:vMerge w:val="restart"/>
            <w:shd w:val="clear" w:color="auto" w:fill="0063A6"/>
          </w:tcPr>
          <w:p>
            <w:pPr>
              <w:jc w:val="center"/>
              <w:ind w:right="161"/>
              <w:spacing w:after="0"/>
              <w:rPr>
                <w:sz w:val="20"/>
                <w:szCs w:val="20"/>
                <w:color w:val="auto"/>
              </w:rPr>
            </w:pPr>
            <w:r>
              <w:rPr>
                <w:rFonts w:ascii="Arial" w:cs="Arial" w:eastAsia="Arial" w:hAnsi="Arial"/>
                <w:sz w:val="14"/>
                <w:szCs w:val="14"/>
                <w:b w:val="1"/>
                <w:bCs w:val="1"/>
                <w:color w:val="FFFFFF"/>
              </w:rPr>
              <w:t>Class A</w:t>
            </w:r>
          </w:p>
        </w:tc>
        <w:tc>
          <w:tcPr>
            <w:tcW w:w="140" w:type="dxa"/>
            <w:vAlign w:val="bottom"/>
            <w:shd w:val="clear" w:color="auto" w:fill="0063A6"/>
          </w:tcPr>
          <w:p>
            <w:pPr>
              <w:spacing w:after="0"/>
              <w:rPr>
                <w:sz w:val="21"/>
                <w:szCs w:val="21"/>
                <w:color w:val="auto"/>
              </w:rPr>
            </w:pPr>
          </w:p>
        </w:tc>
        <w:tc>
          <w:tcPr>
            <w:tcW w:w="220" w:type="dxa"/>
            <w:vAlign w:val="bottom"/>
            <w:shd w:val="clear" w:color="auto" w:fill="0063A6"/>
          </w:tcPr>
          <w:p>
            <w:pPr>
              <w:spacing w:after="0"/>
              <w:rPr>
                <w:sz w:val="21"/>
                <w:szCs w:val="21"/>
                <w:color w:val="auto"/>
              </w:rPr>
            </w:pPr>
          </w:p>
        </w:tc>
        <w:tc>
          <w:tcPr>
            <w:tcW w:w="420" w:type="dxa"/>
            <w:vAlign w:val="bottom"/>
            <w:shd w:val="clear" w:color="auto" w:fill="0063A6"/>
          </w:tcPr>
          <w:p>
            <w:pPr>
              <w:spacing w:after="0"/>
              <w:rPr>
                <w:sz w:val="21"/>
                <w:szCs w:val="21"/>
                <w:color w:val="auto"/>
              </w:rPr>
            </w:pPr>
          </w:p>
        </w:tc>
        <w:tc>
          <w:tcPr>
            <w:tcW w:w="140" w:type="dxa"/>
            <w:vAlign w:val="bottom"/>
            <w:shd w:val="clear" w:color="auto" w:fill="0063A6"/>
          </w:tcPr>
          <w:p>
            <w:pPr>
              <w:spacing w:after="0"/>
              <w:rPr>
                <w:sz w:val="21"/>
                <w:szCs w:val="21"/>
                <w:color w:val="auto"/>
              </w:rPr>
            </w:pPr>
          </w:p>
        </w:tc>
        <w:tc>
          <w:tcPr>
            <w:tcW w:w="220" w:type="dxa"/>
            <w:vAlign w:val="bottom"/>
            <w:shd w:val="clear" w:color="auto" w:fill="0063A6"/>
          </w:tcPr>
          <w:p>
            <w:pPr>
              <w:spacing w:after="0"/>
              <w:rPr>
                <w:sz w:val="21"/>
                <w:szCs w:val="21"/>
                <w:color w:val="auto"/>
              </w:rPr>
            </w:pPr>
          </w:p>
        </w:tc>
        <w:tc>
          <w:tcPr>
            <w:tcW w:w="116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240" w:type="dxa"/>
            <w:vAlign w:val="bottom"/>
            <w:shd w:val="clear" w:color="auto" w:fill="0063A6"/>
          </w:tcPr>
          <w:p>
            <w:pPr>
              <w:spacing w:after="0"/>
              <w:rPr>
                <w:sz w:val="21"/>
                <w:szCs w:val="21"/>
                <w:color w:val="auto"/>
              </w:rPr>
            </w:pPr>
          </w:p>
        </w:tc>
        <w:tc>
          <w:tcPr>
            <w:tcW w:w="140" w:type="dxa"/>
            <w:vAlign w:val="bottom"/>
            <w:shd w:val="clear" w:color="auto" w:fill="0063A6"/>
          </w:tcPr>
          <w:p>
            <w:pPr>
              <w:spacing w:after="0"/>
              <w:rPr>
                <w:sz w:val="21"/>
                <w:szCs w:val="21"/>
                <w:color w:val="auto"/>
              </w:rPr>
            </w:pPr>
          </w:p>
        </w:tc>
        <w:tc>
          <w:tcPr>
            <w:tcW w:w="500" w:type="dxa"/>
            <w:vAlign w:val="bottom"/>
            <w:shd w:val="clear" w:color="auto" w:fill="0063A6"/>
          </w:tcPr>
          <w:p>
            <w:pPr>
              <w:spacing w:after="0"/>
              <w:rPr>
                <w:sz w:val="21"/>
                <w:szCs w:val="21"/>
                <w:color w:val="auto"/>
              </w:rPr>
            </w:pPr>
          </w:p>
        </w:tc>
        <w:tc>
          <w:tcPr>
            <w:tcW w:w="240" w:type="dxa"/>
            <w:vAlign w:val="bottom"/>
            <w:shd w:val="clear" w:color="auto" w:fill="0063A6"/>
          </w:tcPr>
          <w:p>
            <w:pPr>
              <w:spacing w:after="0"/>
              <w:rPr>
                <w:sz w:val="21"/>
                <w:szCs w:val="21"/>
                <w:color w:val="auto"/>
              </w:rPr>
            </w:pPr>
          </w:p>
        </w:tc>
        <w:tc>
          <w:tcPr>
            <w:tcW w:w="14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980" w:type="dxa"/>
            <w:vAlign w:val="bottom"/>
            <w:vMerge w:val="restart"/>
            <w:shd w:val="clear" w:color="auto" w:fill="0063A6"/>
          </w:tcPr>
          <w:p>
            <w:pPr>
              <w:jc w:val="right"/>
              <w:spacing w:after="0"/>
              <w:rPr>
                <w:sz w:val="20"/>
                <w:szCs w:val="20"/>
                <w:color w:val="auto"/>
              </w:rPr>
            </w:pPr>
            <w:r>
              <w:rPr>
                <w:rFonts w:ascii="Arial" w:cs="Arial" w:eastAsia="Arial" w:hAnsi="Arial"/>
                <w:sz w:val="14"/>
                <w:szCs w:val="14"/>
                <w:b w:val="1"/>
                <w:bCs w:val="1"/>
                <w:color w:val="FFFFFF"/>
              </w:rPr>
              <w:t>% of total</w:t>
            </w:r>
          </w:p>
        </w:tc>
        <w:tc>
          <w:tcPr>
            <w:tcW w:w="22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180" w:type="dxa"/>
            <w:vAlign w:val="bottom"/>
            <w:vMerge w:val="restart"/>
            <w:shd w:val="clear" w:color="auto" w:fill="0063A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8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0063A6"/>
          </w:tcPr>
          <w:p>
            <w:pPr>
              <w:spacing w:after="0"/>
              <w:rPr>
                <w:sz w:val="14"/>
                <w:szCs w:val="14"/>
                <w:color w:val="auto"/>
              </w:rPr>
            </w:pPr>
          </w:p>
        </w:tc>
        <w:tc>
          <w:tcPr>
            <w:tcW w:w="860" w:type="dxa"/>
            <w:vAlign w:val="bottom"/>
            <w:vMerge w:val="continue"/>
            <w:shd w:val="clear" w:color="auto" w:fill="0063A6"/>
          </w:tcPr>
          <w:p>
            <w:pPr>
              <w:spacing w:after="0"/>
              <w:rPr>
                <w:sz w:val="14"/>
                <w:szCs w:val="14"/>
                <w:color w:val="auto"/>
              </w:rPr>
            </w:pPr>
          </w:p>
        </w:tc>
        <w:tc>
          <w:tcPr>
            <w:tcW w:w="1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420" w:type="dxa"/>
            <w:vAlign w:val="bottom"/>
            <w:vMerge w:val="restart"/>
            <w:shd w:val="clear" w:color="auto" w:fill="0063A6"/>
          </w:tcPr>
          <w:p>
            <w:pPr>
              <w:jc w:val="center"/>
              <w:ind w:left="33"/>
              <w:spacing w:after="0"/>
              <w:rPr>
                <w:sz w:val="20"/>
                <w:szCs w:val="20"/>
                <w:color w:val="auto"/>
              </w:rPr>
            </w:pPr>
            <w:r>
              <w:rPr>
                <w:rFonts w:ascii="Arial" w:cs="Arial" w:eastAsia="Arial" w:hAnsi="Arial"/>
                <w:sz w:val="14"/>
                <w:szCs w:val="14"/>
                <w:b w:val="1"/>
                <w:bCs w:val="1"/>
                <w:color w:val="FFFFFF"/>
                <w:w w:val="96"/>
              </w:rPr>
              <w:t>%</w:t>
            </w:r>
          </w:p>
        </w:tc>
        <w:tc>
          <w:tcPr>
            <w:tcW w:w="140" w:type="dxa"/>
            <w:vAlign w:val="bottom"/>
            <w:shd w:val="clear" w:color="auto" w:fill="0063A6"/>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1160" w:type="dxa"/>
            <w:vAlign w:val="bottom"/>
            <w:vMerge w:val="continue"/>
            <w:shd w:val="clear" w:color="auto" w:fill="0063A6"/>
          </w:tcPr>
          <w:p>
            <w:pPr>
              <w:spacing w:after="0"/>
              <w:rPr>
                <w:sz w:val="14"/>
                <w:szCs w:val="14"/>
                <w:color w:val="auto"/>
              </w:rPr>
            </w:pPr>
          </w:p>
        </w:tc>
        <w:tc>
          <w:tcPr>
            <w:tcW w:w="24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500" w:type="dxa"/>
            <w:vAlign w:val="bottom"/>
            <w:vMerge w:val="restart"/>
            <w:shd w:val="clear" w:color="auto" w:fill="0063A6"/>
          </w:tcPr>
          <w:p>
            <w:pPr>
              <w:jc w:val="center"/>
              <w:ind w:left="20"/>
              <w:spacing w:after="0"/>
              <w:rPr>
                <w:sz w:val="20"/>
                <w:szCs w:val="20"/>
                <w:color w:val="auto"/>
              </w:rPr>
            </w:pPr>
            <w:r>
              <w:rPr>
                <w:rFonts w:ascii="Arial" w:cs="Arial" w:eastAsia="Arial" w:hAnsi="Arial"/>
                <w:sz w:val="14"/>
                <w:szCs w:val="14"/>
                <w:b w:val="1"/>
                <w:bCs w:val="1"/>
                <w:color w:val="FFFFFF"/>
                <w:w w:val="96"/>
              </w:rPr>
              <w:t>%</w:t>
            </w:r>
          </w:p>
        </w:tc>
        <w:tc>
          <w:tcPr>
            <w:tcW w:w="240" w:type="dxa"/>
            <w:vAlign w:val="bottom"/>
            <w:shd w:val="clear" w:color="auto" w:fill="0063A6"/>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0063A6"/>
          </w:tcPr>
          <w:p>
            <w:pPr>
              <w:spacing w:after="0"/>
              <w:rPr>
                <w:sz w:val="14"/>
                <w:szCs w:val="14"/>
                <w:color w:val="auto"/>
              </w:rPr>
            </w:pPr>
          </w:p>
        </w:tc>
        <w:tc>
          <w:tcPr>
            <w:tcW w:w="980" w:type="dxa"/>
            <w:vAlign w:val="bottom"/>
            <w:vMerge w:val="continue"/>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40" w:type="dxa"/>
            <w:vAlign w:val="bottom"/>
            <w:shd w:val="clear" w:color="auto" w:fill="0063A6"/>
          </w:tcPr>
          <w:p>
            <w:pPr>
              <w:spacing w:after="0"/>
              <w:rPr>
                <w:sz w:val="22"/>
                <w:szCs w:val="22"/>
                <w:color w:val="auto"/>
              </w:rPr>
            </w:pPr>
          </w:p>
        </w:tc>
        <w:tc>
          <w:tcPr>
            <w:tcW w:w="3180" w:type="dxa"/>
            <w:vAlign w:val="bottom"/>
            <w:vMerge w:val="continue"/>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200" w:type="dxa"/>
            <w:vAlign w:val="bottom"/>
            <w:shd w:val="clear" w:color="auto" w:fill="0063A6"/>
          </w:tcPr>
          <w:p>
            <w:pPr>
              <w:spacing w:after="0"/>
              <w:rPr>
                <w:sz w:val="22"/>
                <w:szCs w:val="22"/>
                <w:color w:val="auto"/>
              </w:rPr>
            </w:pPr>
          </w:p>
        </w:tc>
        <w:tc>
          <w:tcPr>
            <w:tcW w:w="1200" w:type="dxa"/>
            <w:vAlign w:val="bottom"/>
            <w:gridSpan w:val="2"/>
            <w:shd w:val="clear" w:color="auto" w:fill="0063A6"/>
          </w:tcPr>
          <w:p>
            <w:pPr>
              <w:jc w:val="center"/>
              <w:ind w:left="62"/>
              <w:spacing w:after="0"/>
              <w:rPr>
                <w:sz w:val="20"/>
                <w:szCs w:val="20"/>
                <w:color w:val="auto"/>
              </w:rPr>
            </w:pPr>
            <w:r>
              <w:rPr>
                <w:rFonts w:ascii="Arial" w:cs="Arial" w:eastAsia="Arial" w:hAnsi="Arial"/>
                <w:sz w:val="14"/>
                <w:szCs w:val="14"/>
                <w:b w:val="1"/>
                <w:bCs w:val="1"/>
                <w:color w:val="FFFFFF"/>
              </w:rPr>
              <w:t>Common Stock</w:t>
            </w:r>
          </w:p>
        </w:tc>
        <w:tc>
          <w:tcPr>
            <w:tcW w:w="14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420" w:type="dxa"/>
            <w:vAlign w:val="bottom"/>
            <w:vMerge w:val="continue"/>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1160" w:type="dxa"/>
            <w:vAlign w:val="bottom"/>
            <w:shd w:val="clear" w:color="auto" w:fill="0063A6"/>
          </w:tcPr>
          <w:p>
            <w:pPr>
              <w:jc w:val="center"/>
              <w:ind w:left="40"/>
              <w:spacing w:after="0"/>
              <w:rPr>
                <w:sz w:val="20"/>
                <w:szCs w:val="20"/>
                <w:color w:val="auto"/>
              </w:rPr>
            </w:pPr>
            <w:r>
              <w:rPr>
                <w:rFonts w:ascii="Arial" w:cs="Arial" w:eastAsia="Arial" w:hAnsi="Arial"/>
                <w:sz w:val="14"/>
                <w:szCs w:val="14"/>
                <w:b w:val="1"/>
                <w:bCs w:val="1"/>
                <w:color w:val="FFFFFF"/>
              </w:rPr>
              <w:t>Common Stock</w:t>
            </w:r>
          </w:p>
        </w:tc>
        <w:tc>
          <w:tcPr>
            <w:tcW w:w="24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500" w:type="dxa"/>
            <w:vAlign w:val="bottom"/>
            <w:vMerge w:val="continue"/>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1200" w:type="dxa"/>
            <w:vAlign w:val="bottom"/>
            <w:gridSpan w:val="2"/>
            <w:shd w:val="clear" w:color="auto" w:fill="0063A6"/>
          </w:tcPr>
          <w:p>
            <w:pPr>
              <w:ind w:left="100"/>
              <w:spacing w:after="0" w:line="256"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322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b w:val="1"/>
                <w:bCs w:val="1"/>
                <w:color w:val="auto"/>
              </w:rPr>
              <w:t>Named executive officers and directors:</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spacing w:after="0"/>
              <w:rPr>
                <w:sz w:val="24"/>
                <w:szCs w:val="24"/>
                <w:color w:val="auto"/>
              </w:rPr>
            </w:pP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spacing w:after="0"/>
              <w:rPr>
                <w:sz w:val="24"/>
                <w:szCs w:val="24"/>
                <w:color w:val="auto"/>
              </w:rPr>
            </w:pP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spacing w:after="0"/>
              <w:rPr>
                <w:sz w:val="24"/>
                <w:szCs w:val="24"/>
                <w:color w:val="auto"/>
              </w:rPr>
            </w:pP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24"/>
                <w:szCs w:val="24"/>
                <w:color w:val="auto"/>
              </w:rPr>
            </w:pP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3220" w:type="dxa"/>
            <w:vAlign w:val="bottom"/>
            <w:gridSpan w:val="2"/>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200" w:type="dxa"/>
            <w:vAlign w:val="bottom"/>
            <w:gridSpan w:val="2"/>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560" w:type="dxa"/>
            <w:vAlign w:val="bottom"/>
            <w:gridSpan w:val="2"/>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740" w:type="dxa"/>
            <w:vAlign w:val="bottom"/>
            <w:gridSpan w:val="2"/>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7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4"/>
                <w:szCs w:val="4"/>
                <w:color w:val="auto"/>
                <w:w w:val="97"/>
              </w:rPr>
              <w:t>​</w:t>
            </w:r>
            <w:r>
              <w:rPr>
                <w:rFonts w:ascii="Arial" w:cs="Arial" w:eastAsia="Arial" w:hAnsi="Arial"/>
                <w:sz w:val="16"/>
                <w:szCs w:val="16"/>
                <w:color w:val="auto"/>
                <w:w w:val="97"/>
              </w:rPr>
              <w:t>Andrew W. Houston</w:t>
            </w:r>
            <w:r>
              <w:rPr>
                <w:rFonts w:ascii="Arial" w:cs="Arial" w:eastAsia="Arial" w:hAnsi="Arial"/>
                <w:sz w:val="26"/>
                <w:szCs w:val="26"/>
                <w:color w:val="auto"/>
                <w:w w:val="97"/>
                <w:vertAlign w:val="superscript"/>
              </w:rPr>
              <w:t>(1)</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 9,545,020</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560" w:type="dxa"/>
            <w:vAlign w:val="bottom"/>
            <w:gridSpan w:val="2"/>
          </w:tcPr>
          <w:p>
            <w:pPr>
              <w:jc w:val="right"/>
              <w:ind w:right="111"/>
              <w:spacing w:after="0"/>
              <w:rPr>
                <w:sz w:val="20"/>
                <w:szCs w:val="20"/>
                <w:color w:val="auto"/>
              </w:rPr>
            </w:pPr>
            <w:r>
              <w:rPr>
                <w:rFonts w:ascii="Arial" w:cs="Arial" w:eastAsia="Arial" w:hAnsi="Arial"/>
                <w:sz w:val="16"/>
                <w:szCs w:val="16"/>
                <w:color w:val="auto"/>
              </w:rPr>
              <w:t>3​.51</w:t>
            </w:r>
            <w:r>
              <w:rPr>
                <w:rFonts w:ascii="Arial" w:cs="Arial" w:eastAsia="Arial" w:hAnsi="Arial"/>
                <w:sz w:val="3"/>
                <w:szCs w:val="3"/>
                <w:color w:val="auto"/>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80,344,837</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740" w:type="dxa"/>
            <w:vAlign w:val="bottom"/>
            <w:gridSpan w:val="2"/>
          </w:tcPr>
          <w:p>
            <w:pPr>
              <w:jc w:val="right"/>
              <w:ind w:right="211"/>
              <w:spacing w:after="0"/>
              <w:rPr>
                <w:sz w:val="20"/>
                <w:szCs w:val="20"/>
                <w:color w:val="auto"/>
              </w:rPr>
            </w:pPr>
            <w:r>
              <w:rPr>
                <w:rFonts w:ascii="Arial" w:cs="Arial" w:eastAsia="Arial" w:hAnsi="Arial"/>
                <w:sz w:val="16"/>
                <w:szCs w:val="16"/>
                <w:color w:val="auto"/>
              </w:rPr>
              <w:t>98.37</w:t>
            </w:r>
            <w:r>
              <w:rPr>
                <w:rFonts w:ascii="Arial" w:cs="Arial" w:eastAsia="Arial" w:hAnsi="Arial"/>
                <w:sz w:val="3"/>
                <w:szCs w:val="3"/>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20"/>
              <w:spacing w:after="0"/>
              <w:rPr>
                <w:sz w:val="20"/>
                <w:szCs w:val="20"/>
                <w:color w:val="auto"/>
              </w:rPr>
            </w:pPr>
            <w:r>
              <w:rPr>
                <w:rFonts w:ascii="Arial" w:cs="Arial" w:eastAsia="Arial" w:hAnsi="Arial"/>
                <w:sz w:val="16"/>
                <w:szCs w:val="16"/>
                <w:color w:val="auto"/>
              </w:rPr>
              <w:t>74.67</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Regan</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jc w:val="right"/>
              <w:ind w:right="61"/>
              <w:spacing w:after="0"/>
              <w:rPr>
                <w:sz w:val="20"/>
                <w:szCs w:val="20"/>
                <w:color w:val="auto"/>
              </w:rPr>
            </w:pPr>
            <w:r>
              <w:rPr>
                <w:rFonts w:ascii="Arial" w:cs="Arial" w:eastAsia="Arial" w:hAnsi="Arial"/>
                <w:sz w:val="16"/>
                <w:szCs w:val="16"/>
                <w:color w:val="auto"/>
              </w:rPr>
              <w:t>434,765</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ind w:left="12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318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20"/>
              <w:spacing w:after="0"/>
              <w:rPr>
                <w:sz w:val="20"/>
                <w:szCs w:val="20"/>
                <w:color w:val="auto"/>
              </w:rPr>
            </w:pPr>
            <w:r>
              <w:rPr>
                <w:rFonts w:ascii="Arial" w:cs="Arial" w:eastAsia="Arial" w:hAnsi="Arial"/>
                <w:sz w:val="16"/>
                <w:szCs w:val="16"/>
                <w:color w:val="auto"/>
              </w:rPr>
              <w:t>Timothy Young</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340" w:type="dxa"/>
            <w:vAlign w:val="bottom"/>
          </w:tcPr>
          <w:p>
            <w:pPr>
              <w:ind w:left="2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157,762</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420" w:type="dxa"/>
            <w:vAlign w:val="bottom"/>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Bart E. Volkmer</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F2F2F2"/>
          </w:tcPr>
          <w:p>
            <w:pPr>
              <w:jc w:val="right"/>
              <w:ind w:right="61"/>
              <w:spacing w:after="0"/>
              <w:rPr>
                <w:sz w:val="20"/>
                <w:szCs w:val="20"/>
                <w:color w:val="auto"/>
              </w:rPr>
            </w:pPr>
            <w:r>
              <w:rPr>
                <w:rFonts w:ascii="Arial" w:cs="Arial" w:eastAsia="Arial" w:hAnsi="Arial"/>
                <w:sz w:val="16"/>
                <w:szCs w:val="16"/>
                <w:color w:val="auto"/>
              </w:rPr>
              <w:t>229,749</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jc w:val="right"/>
              <w:ind w:right="40"/>
              <w:spacing w:after="0"/>
              <w:rPr>
                <w:sz w:val="20"/>
                <w:szCs w:val="20"/>
                <w:color w:val="auto"/>
              </w:rPr>
            </w:pPr>
            <w:r>
              <w:rPr>
                <w:rFonts w:ascii="Arial" w:cs="Arial" w:eastAsia="Arial" w:hAnsi="Arial"/>
                <w:sz w:val="16"/>
                <w:szCs w:val="16"/>
                <w:color w:val="auto"/>
              </w:rPr>
              <w:t>68,480</w:t>
            </w: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ind w:left="12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318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20"/>
              <w:spacing w:after="0"/>
              <w:rPr>
                <w:sz w:val="20"/>
                <w:szCs w:val="20"/>
                <w:color w:val="auto"/>
              </w:rPr>
            </w:pPr>
            <w:r>
              <w:rPr>
                <w:rFonts w:ascii="Arial" w:cs="Arial" w:eastAsia="Arial" w:hAnsi="Arial"/>
                <w:sz w:val="16"/>
                <w:szCs w:val="16"/>
                <w:color w:val="auto"/>
              </w:rPr>
              <w:t>Donald W. Blair</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77,263</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420" w:type="dxa"/>
            <w:vAlign w:val="bottom"/>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Lisa Campbell</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jc w:val="right"/>
              <w:ind w:right="61"/>
              <w:spacing w:after="0"/>
              <w:rPr>
                <w:sz w:val="20"/>
                <w:szCs w:val="20"/>
                <w:color w:val="auto"/>
              </w:rPr>
            </w:pPr>
            <w:r>
              <w:rPr>
                <w:rFonts w:ascii="Arial" w:cs="Arial" w:eastAsia="Arial" w:hAnsi="Arial"/>
                <w:sz w:val="16"/>
                <w:szCs w:val="16"/>
                <w:color w:val="auto"/>
              </w:rPr>
              <w:t>10,316</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ind w:left="12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3220" w:type="dxa"/>
            <w:vAlign w:val="bottom"/>
            <w:gridSpan w:val="2"/>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7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4"/>
                <w:szCs w:val="4"/>
                <w:color w:val="auto"/>
                <w:w w:val="98"/>
              </w:rPr>
              <w:t>​</w:t>
            </w:r>
            <w:r>
              <w:rPr>
                <w:rFonts w:ascii="Arial" w:cs="Arial" w:eastAsia="Arial" w:hAnsi="Arial"/>
                <w:sz w:val="16"/>
                <w:szCs w:val="16"/>
                <w:color w:val="auto"/>
                <w:w w:val="98"/>
              </w:rPr>
              <w:t>Paul E. Jacobs</w:t>
            </w:r>
            <w:r>
              <w:rPr>
                <w:rFonts w:ascii="Arial" w:cs="Arial" w:eastAsia="Arial" w:hAnsi="Arial"/>
                <w:sz w:val="26"/>
                <w:szCs w:val="26"/>
                <w:color w:val="auto"/>
                <w:w w:val="98"/>
                <w:vertAlign w:val="superscript"/>
              </w:rPr>
              <w:t>(2)</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279,607</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420" w:type="dxa"/>
            <w:vAlign w:val="bottom"/>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Abhay Parasnis</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jc w:val="right"/>
              <w:ind w:right="41"/>
              <w:spacing w:after="0"/>
              <w:rPr>
                <w:sz w:val="20"/>
                <w:szCs w:val="20"/>
                <w:color w:val="auto"/>
              </w:rPr>
            </w:pPr>
            <w:r>
              <w:rPr>
                <w:rFonts w:ascii="Arial" w:cs="Arial" w:eastAsia="Arial" w:hAnsi="Arial"/>
                <w:sz w:val="16"/>
                <w:szCs w:val="16"/>
                <w:color w:val="auto"/>
              </w:rPr>
              <w:t>1,791</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ind w:left="120"/>
              <w:spacing w:after="0"/>
              <w:rPr>
                <w:sz w:val="20"/>
                <w:szCs w:val="20"/>
                <w:color w:val="auto"/>
              </w:rPr>
            </w:pPr>
            <w:r>
              <w:rPr>
                <w:rFonts w:ascii="Arial" w:cs="Arial" w:eastAsia="Arial" w:hAnsi="Arial"/>
                <w:sz w:val="16"/>
                <w:szCs w:val="16"/>
                <w:color w:val="auto"/>
                <w:w w:val="95"/>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318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5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8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20"/>
              <w:spacing w:after="0"/>
              <w:rPr>
                <w:sz w:val="20"/>
                <w:szCs w:val="20"/>
                <w:color w:val="auto"/>
              </w:rPr>
            </w:pPr>
            <w:r>
              <w:rPr>
                <w:rFonts w:ascii="Arial" w:cs="Arial" w:eastAsia="Arial" w:hAnsi="Arial"/>
                <w:sz w:val="16"/>
                <w:szCs w:val="16"/>
                <w:color w:val="auto"/>
              </w:rPr>
              <w:t>Karen Peacock</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24"/>
                <w:szCs w:val="24"/>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4,667</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420" w:type="dxa"/>
            <w:vAlign w:val="bottom"/>
          </w:tcPr>
          <w:p>
            <w:pPr>
              <w:jc w:val="center"/>
              <w:ind w:left="53"/>
              <w:spacing w:after="0"/>
              <w:rPr>
                <w:sz w:val="20"/>
                <w:szCs w:val="20"/>
                <w:color w:val="auto"/>
              </w:rPr>
            </w:pPr>
            <w:r>
              <w:rPr>
                <w:rFonts w:ascii="Arial" w:cs="Arial" w:eastAsia="Arial" w:hAnsi="Arial"/>
                <w:sz w:val="16"/>
                <w:szCs w:val="16"/>
                <w:color w:val="auto"/>
                <w:w w:val="95"/>
              </w:rPr>
              <w:t>*</w:t>
            </w:r>
          </w:p>
        </w:tc>
        <w:tc>
          <w:tcPr>
            <w:tcW w:w="140" w:type="dxa"/>
            <w:vAlign w:val="bottom"/>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Michael Seibel</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jc w:val="center"/>
              <w:ind w:right="121"/>
              <w:spacing w:after="0"/>
              <w:rPr>
                <w:sz w:val="20"/>
                <w:szCs w:val="20"/>
                <w:color w:val="auto"/>
              </w:rPr>
            </w:pPr>
            <w:r>
              <w:rPr>
                <w:rFonts w:ascii="Arial" w:cs="Arial" w:eastAsia="Arial" w:hAnsi="Arial"/>
                <w:sz w:val="16"/>
                <w:szCs w:val="16"/>
                <w:color w:val="auto"/>
              </w:rPr>
              <w:t>—</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560" w:type="dxa"/>
            <w:vAlign w:val="bottom"/>
            <w:gridSpan w:val="2"/>
            <w:shd w:val="clear" w:color="auto" w:fill="F2F2F2"/>
          </w:tcPr>
          <w:p>
            <w:pPr>
              <w:jc w:val="right"/>
              <w:ind w:right="111"/>
              <w:spacing w:after="0" w:line="36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4"/>
                <w:szCs w:val="4"/>
                <w:color w:val="auto"/>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jc w:val="center"/>
              <w:ind w:left="10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4"/>
                <w:szCs w:val="4"/>
                <w:color w:val="auto"/>
              </w:rPr>
              <w:t>​</w:t>
            </w:r>
          </w:p>
        </w:tc>
        <w:tc>
          <w:tcPr>
            <w:tcW w:w="3180" w:type="dxa"/>
            <w:vAlign w:val="bottom"/>
          </w:tcPr>
          <w:p>
            <w:pPr>
              <w:ind w:left="20"/>
              <w:spacing w:after="0"/>
              <w:rPr>
                <w:sz w:val="20"/>
                <w:szCs w:val="20"/>
                <w:color w:val="auto"/>
              </w:rPr>
            </w:pPr>
            <w:r>
              <w:rPr>
                <w:rFonts w:ascii="Arial" w:cs="Arial" w:eastAsia="Arial" w:hAnsi="Arial"/>
                <w:sz w:val="16"/>
                <w:szCs w:val="16"/>
                <w:color w:val="auto"/>
              </w:rPr>
              <w:t>Sara Mathew</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20"/>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24"/>
                <w:szCs w:val="24"/>
                <w:color w:val="auto"/>
              </w:rPr>
            </w:pPr>
          </w:p>
        </w:tc>
        <w:tc>
          <w:tcPr>
            <w:tcW w:w="860" w:type="dxa"/>
            <w:vAlign w:val="bottom"/>
          </w:tcPr>
          <w:p>
            <w:pPr>
              <w:jc w:val="center"/>
              <w:ind w:right="1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560" w:type="dxa"/>
            <w:vAlign w:val="bottom"/>
            <w:gridSpan w:val="2"/>
          </w:tcPr>
          <w:p>
            <w:pPr>
              <w:jc w:val="right"/>
              <w:ind w:right="111"/>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3"/>
                <w:szCs w:val="3"/>
                <w:color w:val="auto"/>
              </w:rPr>
              <w:t>​</w:t>
            </w:r>
          </w:p>
        </w:tc>
        <w:tc>
          <w:tcPr>
            <w:tcW w:w="220" w:type="dxa"/>
            <w:vAlign w:val="bottom"/>
          </w:tcPr>
          <w:p>
            <w:pPr>
              <w:ind w:left="120"/>
              <w:spacing w:after="0"/>
              <w:rPr>
                <w:sz w:val="20"/>
                <w:szCs w:val="20"/>
                <w:color w:val="auto"/>
              </w:rPr>
            </w:pPr>
            <w:r>
              <w:rPr>
                <w:rFonts w:ascii="Arial" w:cs="Arial" w:eastAsia="Arial" w:hAnsi="Arial"/>
                <w:sz w:val="4"/>
                <w:szCs w:val="4"/>
                <w:color w:val="auto"/>
              </w:rPr>
              <w:t>​</w:t>
            </w:r>
          </w:p>
        </w:tc>
        <w:tc>
          <w:tcPr>
            <w:tcW w:w="116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980" w:type="dxa"/>
            <w:vAlign w:val="bottom"/>
          </w:tcPr>
          <w:p>
            <w:pPr>
              <w:jc w:val="center"/>
              <w:ind w:left="10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ind w:left="10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720" w:type="dxa"/>
            <w:vAlign w:val="bottom"/>
          </w:tcPr>
          <w:p>
            <w:pPr>
              <w:spacing w:after="0"/>
              <w:rPr>
                <w:sz w:val="24"/>
                <w:szCs w:val="24"/>
                <w:color w:val="auto"/>
              </w:rPr>
            </w:pPr>
          </w:p>
        </w:tc>
        <w:tc>
          <w:tcPr>
            <w:tcW w:w="40" w:type="dxa"/>
            <w:vAlign w:val="bottom"/>
            <w:shd w:val="clear" w:color="auto" w:fill="F2F2F2"/>
          </w:tcPr>
          <w:p>
            <w:pPr>
              <w:spacing w:after="0"/>
              <w:rPr>
                <w:sz w:val="24"/>
                <w:szCs w:val="24"/>
                <w:color w:val="auto"/>
              </w:rPr>
            </w:pPr>
          </w:p>
        </w:tc>
        <w:tc>
          <w:tcPr>
            <w:tcW w:w="31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All current directors, named executive</w:t>
            </w:r>
          </w:p>
        </w:tc>
        <w:tc>
          <w:tcPr>
            <w:tcW w:w="18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160" w:type="dxa"/>
            <w:vAlign w:val="bottom"/>
            <w:shd w:val="clear" w:color="auto" w:fill="F2F2F2"/>
          </w:tcPr>
          <w:p>
            <w:pPr>
              <w:spacing w:after="0"/>
              <w:rPr>
                <w:sz w:val="24"/>
                <w:szCs w:val="24"/>
                <w:color w:val="auto"/>
              </w:rPr>
            </w:pPr>
          </w:p>
        </w:tc>
        <w:tc>
          <w:tcPr>
            <w:tcW w:w="24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24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98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2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officers and executive officers as a group</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20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420" w:type="dxa"/>
            <w:vAlign w:val="bottom"/>
            <w:shd w:val="clear" w:color="auto" w:fill="F2F2F2"/>
          </w:tcPr>
          <w:p>
            <w:pPr>
              <w:spacing w:after="0"/>
              <w:rPr>
                <w:sz w:val="16"/>
                <w:szCs w:val="16"/>
                <w:color w:val="auto"/>
              </w:rPr>
            </w:pPr>
          </w:p>
        </w:tc>
        <w:tc>
          <w:tcPr>
            <w:tcW w:w="140" w:type="dxa"/>
            <w:vAlign w:val="bottom"/>
            <w:shd w:val="clear" w:color="auto" w:fill="F2F2F2"/>
          </w:tcPr>
          <w:p>
            <w:pPr>
              <w:jc w:val="right"/>
              <w:ind w:right="111"/>
              <w:spacing w:after="0"/>
              <w:rPr>
                <w:sz w:val="20"/>
                <w:szCs w:val="20"/>
                <w:color w:val="auto"/>
              </w:rPr>
            </w:pPr>
            <w:r>
              <w:rPr>
                <w:rFonts w:ascii="Arial" w:cs="Arial" w:eastAsia="Arial" w:hAnsi="Arial"/>
                <w:sz w:val="2"/>
                <w:szCs w:val="2"/>
                <w:color w:val="auto"/>
                <w:w w:val="4294942296"/>
              </w:rPr>
              <w:t>​</w:t>
            </w:r>
          </w:p>
        </w:tc>
        <w:tc>
          <w:tcPr>
            <w:tcW w:w="22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60" w:type="dxa"/>
            <w:vAlign w:val="bottom"/>
            <w:shd w:val="clear" w:color="auto" w:fill="F2F2F2"/>
          </w:tcPr>
          <w:p>
            <w:pPr>
              <w:spacing w:after="0"/>
              <w:rPr>
                <w:sz w:val="16"/>
                <w:szCs w:val="16"/>
                <w:color w:val="auto"/>
              </w:rPr>
            </w:pPr>
          </w:p>
        </w:tc>
        <w:tc>
          <w:tcPr>
            <w:tcW w:w="2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500" w:type="dxa"/>
            <w:vAlign w:val="bottom"/>
            <w:shd w:val="clear" w:color="auto" w:fill="F2F2F2"/>
          </w:tcPr>
          <w:p>
            <w:pPr>
              <w:spacing w:after="0"/>
              <w:rPr>
                <w:sz w:val="16"/>
                <w:szCs w:val="16"/>
                <w:color w:val="auto"/>
              </w:rPr>
            </w:pPr>
          </w:p>
        </w:tc>
        <w:tc>
          <w:tcPr>
            <w:tcW w:w="240" w:type="dxa"/>
            <w:vAlign w:val="bottom"/>
            <w:shd w:val="clear" w:color="auto" w:fill="F2F2F2"/>
          </w:tcPr>
          <w:p>
            <w:pPr>
              <w:jc w:val="right"/>
              <w:ind w:right="211"/>
              <w:spacing w:after="0"/>
              <w:rPr>
                <w:sz w:val="20"/>
                <w:szCs w:val="20"/>
                <w:color w:val="auto"/>
              </w:rPr>
            </w:pPr>
            <w:r>
              <w:rPr>
                <w:rFonts w:ascii="Arial" w:cs="Arial" w:eastAsia="Arial" w:hAnsi="Arial"/>
                <w:sz w:val="2"/>
                <w:szCs w:val="2"/>
                <w:color w:val="auto"/>
                <w:w w:val="4294942296"/>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980" w:type="dxa"/>
            <w:vAlign w:val="bottom"/>
            <w:shd w:val="clear" w:color="auto" w:fill="F2F2F2"/>
          </w:tcPr>
          <w:p>
            <w:pPr>
              <w:spacing w:after="0"/>
              <w:rPr>
                <w:sz w:val="16"/>
                <w:szCs w:val="16"/>
                <w:color w:val="auto"/>
              </w:rPr>
            </w:pP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0" w:type="dxa"/>
            <w:vAlign w:val="bottom"/>
            <w:tcBorders>
              <w:bottom w:val="single" w:sz="8" w:color="F2F2F2"/>
            </w:tcBorders>
            <w:shd w:val="clear" w:color="auto" w:fill="F2F2F2"/>
          </w:tcPr>
          <w:p>
            <w:pPr>
              <w:spacing w:after="0"/>
              <w:rPr>
                <w:sz w:val="20"/>
                <w:szCs w:val="20"/>
                <w:color w:val="auto"/>
              </w:rPr>
            </w:pPr>
          </w:p>
        </w:tc>
        <w:tc>
          <w:tcPr>
            <w:tcW w:w="31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(11 persons)</w:t>
            </w:r>
          </w:p>
        </w:tc>
        <w:tc>
          <w:tcPr>
            <w:tcW w:w="180" w:type="dxa"/>
            <w:vAlign w:val="bottom"/>
            <w:tcBorders>
              <w:bottom w:val="single" w:sz="8" w:color="F2F2F2"/>
            </w:tcBorders>
            <w:shd w:val="clear" w:color="auto" w:fill="F2F2F2"/>
          </w:tcPr>
          <w:p>
            <w:pPr>
              <w:spacing w:after="0"/>
              <w:rPr>
                <w:sz w:val="20"/>
                <w:szCs w:val="20"/>
                <w:color w:val="auto"/>
              </w:rPr>
            </w:pPr>
          </w:p>
        </w:tc>
        <w:tc>
          <w:tcPr>
            <w:tcW w:w="200" w:type="dxa"/>
            <w:vAlign w:val="bottom"/>
            <w:tcBorders>
              <w:bottom w:val="single" w:sz="8" w:color="F2F2F2"/>
            </w:tcBorders>
            <w:shd w:val="clear" w:color="auto" w:fill="F2F2F2"/>
          </w:tcPr>
          <w:p>
            <w:pPr>
              <w:spacing w:after="0"/>
              <w:rPr>
                <w:sz w:val="20"/>
                <w:szCs w:val="20"/>
                <w:color w:val="auto"/>
              </w:rPr>
            </w:pPr>
          </w:p>
        </w:tc>
        <w:tc>
          <w:tcPr>
            <w:tcW w:w="1200" w:type="dxa"/>
            <w:vAlign w:val="bottom"/>
            <w:tcBorders>
              <w:bottom w:val="single" w:sz="8" w:color="F2F2F2"/>
            </w:tcBorders>
            <w:gridSpan w:val="2"/>
            <w:shd w:val="clear" w:color="auto" w:fill="F2F2F2"/>
          </w:tcPr>
          <w:p>
            <w:pPr>
              <w:jc w:val="right"/>
              <w:ind w:right="41"/>
              <w:spacing w:after="0"/>
              <w:rPr>
                <w:sz w:val="20"/>
                <w:szCs w:val="20"/>
                <w:color w:val="auto"/>
              </w:rPr>
            </w:pPr>
            <w:r>
              <w:rPr>
                <w:rFonts w:ascii="Arial" w:cs="Arial" w:eastAsia="Arial" w:hAnsi="Arial"/>
                <w:sz w:val="16"/>
                <w:szCs w:val="16"/>
                <w:color w:val="auto"/>
              </w:rPr>
              <w:t>10,740,940​</w:t>
            </w:r>
          </w:p>
        </w:tc>
        <w:tc>
          <w:tcPr>
            <w:tcW w:w="140" w:type="dxa"/>
            <w:vAlign w:val="bottom"/>
            <w:tcBorders>
              <w:bottom w:val="single" w:sz="8" w:color="F2F2F2"/>
            </w:tcBorders>
            <w:shd w:val="clear" w:color="auto" w:fill="F2F2F2"/>
          </w:tcPr>
          <w:p>
            <w:pPr>
              <w:spacing w:after="0"/>
              <w:rPr>
                <w:sz w:val="20"/>
                <w:szCs w:val="20"/>
                <w:color w:val="auto"/>
              </w:rPr>
            </w:pPr>
          </w:p>
        </w:tc>
        <w:tc>
          <w:tcPr>
            <w:tcW w:w="220" w:type="dxa"/>
            <w:vAlign w:val="bottom"/>
            <w:tcBorders>
              <w:bottom w:val="single" w:sz="8" w:color="F2F2F2"/>
            </w:tcBorders>
            <w:shd w:val="clear" w:color="auto" w:fill="F2F2F2"/>
          </w:tcPr>
          <w:p>
            <w:pPr>
              <w:spacing w:after="0"/>
              <w:rPr>
                <w:sz w:val="20"/>
                <w:szCs w:val="20"/>
                <w:color w:val="auto"/>
              </w:rPr>
            </w:pPr>
          </w:p>
        </w:tc>
        <w:tc>
          <w:tcPr>
            <w:tcW w:w="420" w:type="dxa"/>
            <w:vAlign w:val="bottom"/>
            <w:tcBorders>
              <w:bottom w:val="single" w:sz="8" w:color="F2F2F2"/>
            </w:tcBorders>
            <w:shd w:val="clear" w:color="auto" w:fill="F2F2F2"/>
          </w:tcPr>
          <w:p>
            <w:pPr>
              <w:jc w:val="center"/>
              <w:ind w:left="33"/>
              <w:spacing w:after="0"/>
              <w:rPr>
                <w:sz w:val="20"/>
                <w:szCs w:val="20"/>
                <w:color w:val="auto"/>
              </w:rPr>
            </w:pPr>
            <w:r>
              <w:rPr>
                <w:rFonts w:ascii="Arial" w:cs="Arial" w:eastAsia="Arial" w:hAnsi="Arial"/>
                <w:sz w:val="16"/>
                <w:szCs w:val="16"/>
                <w:color w:val="auto"/>
              </w:rPr>
              <w:t>3​.95</w:t>
            </w:r>
          </w:p>
        </w:tc>
        <w:tc>
          <w:tcPr>
            <w:tcW w:w="140" w:type="dxa"/>
            <w:vAlign w:val="bottom"/>
            <w:tcBorders>
              <w:bottom w:val="single" w:sz="8" w:color="F2F2F2"/>
            </w:tcBorders>
            <w:shd w:val="clear" w:color="auto" w:fill="F2F2F2"/>
          </w:tcPr>
          <w:p>
            <w:pPr>
              <w:spacing w:after="0"/>
              <w:rPr>
                <w:sz w:val="20"/>
                <w:szCs w:val="20"/>
                <w:color w:val="auto"/>
              </w:rPr>
            </w:pPr>
          </w:p>
        </w:tc>
        <w:tc>
          <w:tcPr>
            <w:tcW w:w="220" w:type="dxa"/>
            <w:vAlign w:val="bottom"/>
            <w:tcBorders>
              <w:bottom w:val="single" w:sz="8" w:color="F2F2F2"/>
            </w:tcBorders>
            <w:shd w:val="clear" w:color="auto" w:fill="F2F2F2"/>
          </w:tcPr>
          <w:p>
            <w:pPr>
              <w:spacing w:after="0"/>
              <w:rPr>
                <w:sz w:val="20"/>
                <w:szCs w:val="20"/>
                <w:color w:val="auto"/>
              </w:rPr>
            </w:pPr>
          </w:p>
        </w:tc>
        <w:tc>
          <w:tcPr>
            <w:tcW w:w="1160" w:type="dxa"/>
            <w:vAlign w:val="bottom"/>
            <w:tcBorders>
              <w:bottom w:val="single" w:sz="8" w:color="F2F2F2"/>
            </w:tcBorders>
            <w:shd w:val="clear" w:color="auto" w:fill="F2F2F2"/>
          </w:tcPr>
          <w:p>
            <w:pPr>
              <w:jc w:val="right"/>
              <w:ind w:right="40"/>
              <w:spacing w:after="0"/>
              <w:rPr>
                <w:sz w:val="20"/>
                <w:szCs w:val="20"/>
                <w:color w:val="auto"/>
              </w:rPr>
            </w:pPr>
            <w:r>
              <w:rPr>
                <w:rFonts w:ascii="Arial" w:cs="Arial" w:eastAsia="Arial" w:hAnsi="Arial"/>
                <w:sz w:val="16"/>
                <w:szCs w:val="16"/>
                <w:color w:val="auto"/>
              </w:rPr>
              <w:t>80,413,317</w:t>
            </w:r>
          </w:p>
        </w:tc>
        <w:tc>
          <w:tcPr>
            <w:tcW w:w="240" w:type="dxa"/>
            <w:vAlign w:val="bottom"/>
            <w:tcBorders>
              <w:bottom w:val="single" w:sz="8" w:color="F2F2F2"/>
            </w:tcBorders>
            <w:shd w:val="clear" w:color="auto" w:fill="F2F2F2"/>
          </w:tcPr>
          <w:p>
            <w:pPr>
              <w:spacing w:after="0"/>
              <w:rPr>
                <w:sz w:val="20"/>
                <w:szCs w:val="20"/>
                <w:color w:val="auto"/>
              </w:rPr>
            </w:pPr>
          </w:p>
        </w:tc>
        <w:tc>
          <w:tcPr>
            <w:tcW w:w="140" w:type="dxa"/>
            <w:vAlign w:val="bottom"/>
            <w:tcBorders>
              <w:bottom w:val="single" w:sz="8" w:color="F2F2F2"/>
            </w:tcBorders>
            <w:shd w:val="clear" w:color="auto" w:fill="F2F2F2"/>
          </w:tcPr>
          <w:p>
            <w:pPr>
              <w:spacing w:after="0"/>
              <w:rPr>
                <w:sz w:val="20"/>
                <w:szCs w:val="20"/>
                <w:color w:val="auto"/>
              </w:rPr>
            </w:pPr>
          </w:p>
        </w:tc>
        <w:tc>
          <w:tcPr>
            <w:tcW w:w="500" w:type="dxa"/>
            <w:vAlign w:val="bottom"/>
            <w:tcBorders>
              <w:bottom w:val="single" w:sz="8" w:color="F2F2F2"/>
            </w:tcBorders>
            <w:shd w:val="clear" w:color="auto" w:fill="F2F2F2"/>
          </w:tcPr>
          <w:p>
            <w:pPr>
              <w:jc w:val="center"/>
              <w:ind w:left="20"/>
              <w:spacing w:after="0"/>
              <w:rPr>
                <w:sz w:val="20"/>
                <w:szCs w:val="20"/>
                <w:color w:val="auto"/>
              </w:rPr>
            </w:pPr>
            <w:r>
              <w:rPr>
                <w:rFonts w:ascii="Arial" w:cs="Arial" w:eastAsia="Arial" w:hAnsi="Arial"/>
                <w:sz w:val="16"/>
                <w:szCs w:val="16"/>
                <w:color w:val="auto"/>
                <w:w w:val="99"/>
              </w:rPr>
              <w:t>98.45</w:t>
            </w:r>
          </w:p>
        </w:tc>
        <w:tc>
          <w:tcPr>
            <w:tcW w:w="240" w:type="dxa"/>
            <w:vAlign w:val="bottom"/>
            <w:tcBorders>
              <w:bottom w:val="single" w:sz="8" w:color="F2F2F2"/>
            </w:tcBorders>
            <w:shd w:val="clear" w:color="auto" w:fill="F2F2F2"/>
          </w:tcPr>
          <w:p>
            <w:pPr>
              <w:spacing w:after="0"/>
              <w:rPr>
                <w:sz w:val="20"/>
                <w:szCs w:val="20"/>
                <w:color w:val="auto"/>
              </w:rPr>
            </w:pPr>
          </w:p>
        </w:tc>
        <w:tc>
          <w:tcPr>
            <w:tcW w:w="140" w:type="dxa"/>
            <w:vAlign w:val="bottom"/>
            <w:tcBorders>
              <w:bottom w:val="single" w:sz="8" w:color="F2F2F2"/>
            </w:tcBorders>
            <w:shd w:val="clear" w:color="auto" w:fill="F2F2F2"/>
          </w:tcPr>
          <w:p>
            <w:pPr>
              <w:spacing w:after="0"/>
              <w:rPr>
                <w:sz w:val="20"/>
                <w:szCs w:val="20"/>
                <w:color w:val="auto"/>
              </w:rPr>
            </w:pPr>
          </w:p>
        </w:tc>
        <w:tc>
          <w:tcPr>
            <w:tcW w:w="980" w:type="dxa"/>
            <w:vAlign w:val="bottom"/>
            <w:tcBorders>
              <w:bottom w:val="single" w:sz="8" w:color="F2F2F2"/>
            </w:tcBorders>
            <w:shd w:val="clear" w:color="auto" w:fill="F2F2F2"/>
          </w:tcPr>
          <w:p>
            <w:pPr>
              <w:jc w:val="center"/>
              <w:ind w:left="120"/>
              <w:spacing w:after="0"/>
              <w:rPr>
                <w:sz w:val="20"/>
                <w:szCs w:val="20"/>
                <w:color w:val="auto"/>
              </w:rPr>
            </w:pPr>
            <w:r>
              <w:rPr>
                <w:rFonts w:ascii="Arial" w:cs="Arial" w:eastAsia="Arial" w:hAnsi="Arial"/>
                <w:sz w:val="16"/>
                <w:szCs w:val="16"/>
                <w:color w:val="auto"/>
              </w:rPr>
              <w:t>74​.85</w:t>
            </w:r>
          </w:p>
        </w:tc>
        <w:tc>
          <w:tcPr>
            <w:tcW w:w="220" w:type="dxa"/>
            <w:vAlign w:val="bottom"/>
            <w:tcBorders>
              <w:bottom w:val="single" w:sz="8" w:color="F2F2F2"/>
            </w:tcBorders>
            <w:shd w:val="clear" w:color="auto" w:fill="F2F2F2"/>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14"/>
          </w:tcPr>
          <w:p>
            <w:pPr>
              <w:jc w:val="right"/>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67"/>
        </w:trPr>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right="280"/>
        <w:spacing w:after="0" w:line="246" w:lineRule="auto"/>
        <w:rPr>
          <w:sz w:val="20"/>
          <w:szCs w:val="20"/>
          <w:color w:val="auto"/>
        </w:rPr>
      </w:pPr>
      <w:r>
        <w:rPr>
          <w:rFonts w:ascii="Arial" w:cs="Arial" w:eastAsia="Arial" w:hAnsi="Arial"/>
          <w:sz w:val="32"/>
          <w:szCs w:val="32"/>
          <w:color w:val="0063A6"/>
        </w:rPr>
        <w:t>SECURITY OWNERSHIP OF CERTAIN BENEFICIAL OWNERS AND MANAGEMENT (continued)</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077585" cy="2091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7585" cy="20916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40" w:type="dxa"/>
            <w:vAlign w:val="bottom"/>
            <w:shd w:val="clear" w:color="auto" w:fill="0063A6"/>
          </w:tcPr>
          <w:p>
            <w:pPr>
              <w:spacing w:after="0"/>
              <w:rPr>
                <w:sz w:val="18"/>
                <w:szCs w:val="18"/>
                <w:color w:val="auto"/>
              </w:rPr>
            </w:pPr>
          </w:p>
        </w:tc>
        <w:tc>
          <w:tcPr>
            <w:tcW w:w="100" w:type="dxa"/>
            <w:vAlign w:val="bottom"/>
            <w:shd w:val="clear" w:color="auto" w:fill="0063A6"/>
          </w:tcPr>
          <w:p>
            <w:pPr>
              <w:spacing w:after="0"/>
              <w:rPr>
                <w:sz w:val="18"/>
                <w:szCs w:val="18"/>
                <w:color w:val="auto"/>
              </w:rPr>
            </w:pPr>
          </w:p>
        </w:tc>
        <w:tc>
          <w:tcPr>
            <w:tcW w:w="312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3800" w:type="dxa"/>
            <w:vAlign w:val="bottom"/>
            <w:gridSpan w:val="7"/>
            <w:vMerge w:val="restart"/>
            <w:shd w:val="clear" w:color="auto" w:fill="0063A6"/>
          </w:tcPr>
          <w:p>
            <w:pPr>
              <w:ind w:left="720"/>
              <w:spacing w:after="0"/>
              <w:rPr>
                <w:sz w:val="20"/>
                <w:szCs w:val="20"/>
                <w:color w:val="auto"/>
              </w:rPr>
            </w:pPr>
            <w:r>
              <w:rPr>
                <w:rFonts w:ascii="Arial" w:cs="Arial" w:eastAsia="Arial" w:hAnsi="Arial"/>
                <w:sz w:val="14"/>
                <w:szCs w:val="14"/>
                <w:b w:val="1"/>
                <w:bCs w:val="1"/>
                <w:color w:val="FFFFFF"/>
              </w:rPr>
              <w:t>Amount and nature of beneficial ownership</w:t>
            </w:r>
          </w:p>
        </w:tc>
        <w:tc>
          <w:tcPr>
            <w:tcW w:w="220" w:type="dxa"/>
            <w:vAlign w:val="bottom"/>
            <w:shd w:val="clear" w:color="auto" w:fill="0063A6"/>
          </w:tcPr>
          <w:p>
            <w:pPr>
              <w:spacing w:after="0"/>
              <w:rPr>
                <w:sz w:val="18"/>
                <w:szCs w:val="18"/>
                <w:color w:val="auto"/>
              </w:rPr>
            </w:pPr>
          </w:p>
        </w:tc>
        <w:tc>
          <w:tcPr>
            <w:tcW w:w="520" w:type="dxa"/>
            <w:vAlign w:val="bottom"/>
            <w:shd w:val="clear" w:color="auto" w:fill="0063A6"/>
          </w:tcPr>
          <w:p>
            <w:pPr>
              <w:jc w:val="right"/>
              <w:ind w:right="191"/>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spacing w:after="0"/>
              <w:rPr>
                <w:sz w:val="18"/>
                <w:szCs w:val="18"/>
                <w:color w:val="auto"/>
              </w:rPr>
            </w:pPr>
          </w:p>
        </w:tc>
        <w:tc>
          <w:tcPr>
            <w:tcW w:w="1100" w:type="dxa"/>
            <w:vAlign w:val="bottom"/>
            <w:shd w:val="clear" w:color="auto" w:fill="0063A6"/>
          </w:tcPr>
          <w:p>
            <w:pPr>
              <w:spacing w:after="0"/>
              <w:rPr>
                <w:sz w:val="18"/>
                <w:szCs w:val="18"/>
                <w:color w:val="auto"/>
              </w:rPr>
            </w:pPr>
          </w:p>
        </w:tc>
        <w:tc>
          <w:tcPr>
            <w:tcW w:w="10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0063A6"/>
          </w:tcPr>
          <w:p>
            <w:pPr>
              <w:spacing w:after="0"/>
              <w:rPr>
                <w:sz w:val="6"/>
                <w:szCs w:val="6"/>
                <w:color w:val="auto"/>
              </w:rPr>
            </w:pPr>
          </w:p>
        </w:tc>
        <w:tc>
          <w:tcPr>
            <w:tcW w:w="4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312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240" w:type="dxa"/>
            <w:vAlign w:val="bottom"/>
            <w:shd w:val="clear" w:color="auto" w:fill="0063A6"/>
          </w:tcPr>
          <w:p>
            <w:pPr>
              <w:spacing w:after="0"/>
              <w:rPr>
                <w:sz w:val="6"/>
                <w:szCs w:val="6"/>
                <w:color w:val="auto"/>
              </w:rPr>
            </w:pPr>
          </w:p>
        </w:tc>
        <w:tc>
          <w:tcPr>
            <w:tcW w:w="3800" w:type="dxa"/>
            <w:vAlign w:val="bottom"/>
            <w:gridSpan w:val="7"/>
            <w:vMerge w:val="continue"/>
            <w:shd w:val="clear" w:color="auto" w:fill="0063A6"/>
          </w:tcPr>
          <w:p>
            <w:pPr>
              <w:spacing w:after="0"/>
              <w:rPr>
                <w:sz w:val="6"/>
                <w:szCs w:val="6"/>
                <w:color w:val="auto"/>
              </w:rPr>
            </w:pPr>
          </w:p>
        </w:tc>
        <w:tc>
          <w:tcPr>
            <w:tcW w:w="220" w:type="dxa"/>
            <w:vAlign w:val="bottom"/>
            <w:shd w:val="clear" w:color="auto" w:fill="0063A6"/>
          </w:tcPr>
          <w:p>
            <w:pPr>
              <w:spacing w:after="0"/>
              <w:rPr>
                <w:sz w:val="6"/>
                <w:szCs w:val="6"/>
                <w:color w:val="auto"/>
              </w:rPr>
            </w:pPr>
          </w:p>
        </w:tc>
        <w:tc>
          <w:tcPr>
            <w:tcW w:w="520" w:type="dxa"/>
            <w:vAlign w:val="bottom"/>
            <w:shd w:val="clear" w:color="auto" w:fill="0063A6"/>
          </w:tcPr>
          <w:p>
            <w:pPr>
              <w:spacing w:after="0"/>
              <w:rPr>
                <w:sz w:val="6"/>
                <w:szCs w:val="6"/>
                <w:color w:val="auto"/>
              </w:rPr>
            </w:pPr>
          </w:p>
        </w:tc>
        <w:tc>
          <w:tcPr>
            <w:tcW w:w="140" w:type="dxa"/>
            <w:vAlign w:val="bottom"/>
            <w:shd w:val="clear" w:color="auto" w:fill="0063A6"/>
          </w:tcPr>
          <w:p>
            <w:pPr>
              <w:spacing w:after="0"/>
              <w:rPr>
                <w:sz w:val="6"/>
                <w:szCs w:val="6"/>
                <w:color w:val="auto"/>
              </w:rPr>
            </w:pPr>
          </w:p>
        </w:tc>
        <w:tc>
          <w:tcPr>
            <w:tcW w:w="1100" w:type="dxa"/>
            <w:vAlign w:val="bottom"/>
            <w:shd w:val="clear" w:color="auto" w:fill="0063A6"/>
          </w:tcPr>
          <w:p>
            <w:pPr>
              <w:spacing w:after="0"/>
              <w:rPr>
                <w:sz w:val="6"/>
                <w:szCs w:val="6"/>
                <w:color w:val="auto"/>
              </w:rPr>
            </w:pPr>
          </w:p>
        </w:tc>
        <w:tc>
          <w:tcPr>
            <w:tcW w:w="100" w:type="dxa"/>
            <w:vAlign w:val="bottom"/>
            <w:shd w:val="clear" w:color="auto" w:fill="0063A6"/>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3120" w:type="dxa"/>
            <w:vAlign w:val="bottom"/>
            <w:shd w:val="clear" w:color="auto" w:fill="0063A6"/>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11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200" w:type="dxa"/>
            <w:vAlign w:val="bottom"/>
            <w:shd w:val="clear" w:color="auto" w:fill="0063A6"/>
          </w:tcPr>
          <w:p>
            <w:pPr>
              <w:spacing w:after="0"/>
              <w:rPr>
                <w:sz w:val="14"/>
                <w:szCs w:val="14"/>
                <w:color w:val="auto"/>
              </w:rPr>
            </w:pPr>
          </w:p>
        </w:tc>
        <w:tc>
          <w:tcPr>
            <w:tcW w:w="18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360" w:type="dxa"/>
            <w:vAlign w:val="bottom"/>
            <w:shd w:val="clear" w:color="auto" w:fill="0063A6"/>
          </w:tcPr>
          <w:p>
            <w:pPr>
              <w:spacing w:after="0"/>
              <w:rPr>
                <w:sz w:val="14"/>
                <w:szCs w:val="14"/>
                <w:color w:val="auto"/>
              </w:rPr>
            </w:pPr>
          </w:p>
        </w:tc>
        <w:tc>
          <w:tcPr>
            <w:tcW w:w="106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1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520" w:type="dxa"/>
            <w:vAlign w:val="bottom"/>
            <w:shd w:val="clear" w:color="auto" w:fill="0063A6"/>
          </w:tcPr>
          <w:p>
            <w:pPr>
              <w:spacing w:after="0"/>
              <w:rPr>
                <w:sz w:val="14"/>
                <w:szCs w:val="14"/>
                <w:color w:val="auto"/>
              </w:rPr>
            </w:pPr>
          </w:p>
        </w:tc>
        <w:tc>
          <w:tcPr>
            <w:tcW w:w="140" w:type="dxa"/>
            <w:vAlign w:val="bottom"/>
            <w:shd w:val="clear" w:color="auto" w:fill="0063A6"/>
          </w:tcPr>
          <w:p>
            <w:pPr>
              <w:ind w:left="20"/>
              <w:spacing w:after="0"/>
              <w:rPr>
                <w:sz w:val="20"/>
                <w:szCs w:val="20"/>
                <w:color w:val="auto"/>
              </w:rPr>
            </w:pPr>
            <w:r>
              <w:rPr>
                <w:rFonts w:ascii="Arial" w:cs="Arial" w:eastAsia="Arial" w:hAnsi="Arial"/>
                <w:sz w:val="4"/>
                <w:szCs w:val="4"/>
                <w:color w:val="auto"/>
              </w:rPr>
              <w:t>​</w:t>
            </w:r>
          </w:p>
        </w:tc>
        <w:tc>
          <w:tcPr>
            <w:tcW w:w="110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c>
          <w:tcPr>
            <w:tcW w:w="1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6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40" w:type="dxa"/>
            <w:vAlign w:val="bottom"/>
            <w:shd w:val="clear" w:color="auto" w:fill="0063A6"/>
          </w:tcPr>
          <w:p>
            <w:pPr>
              <w:spacing w:after="0"/>
              <w:rPr>
                <w:sz w:val="14"/>
                <w:szCs w:val="14"/>
                <w:color w:val="auto"/>
              </w:rPr>
            </w:pPr>
          </w:p>
        </w:tc>
        <w:tc>
          <w:tcPr>
            <w:tcW w:w="3220" w:type="dxa"/>
            <w:vAlign w:val="bottom"/>
            <w:gridSpan w:val="2"/>
            <w:vMerge w:val="restart"/>
            <w:shd w:val="clear" w:color="auto" w:fill="0063A6"/>
          </w:tcPr>
          <w:p>
            <w:pPr>
              <w:spacing w:after="0"/>
              <w:rPr>
                <w:sz w:val="20"/>
                <w:szCs w:val="20"/>
                <w:color w:val="auto"/>
              </w:rPr>
            </w:pPr>
            <w:r>
              <w:rPr>
                <w:rFonts w:ascii="Arial" w:cs="Arial" w:eastAsia="Arial" w:hAnsi="Arial"/>
                <w:sz w:val="14"/>
                <w:szCs w:val="14"/>
                <w:b w:val="1"/>
                <w:bCs w:val="1"/>
                <w:color w:val="FFFFFF"/>
              </w:rPr>
              <w:t>Name of beneficial owner</w:t>
            </w:r>
          </w:p>
        </w:tc>
        <w:tc>
          <w:tcPr>
            <w:tcW w:w="1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4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1180" w:type="dxa"/>
            <w:vAlign w:val="bottom"/>
            <w:vMerge w:val="continue"/>
            <w:shd w:val="clear" w:color="auto" w:fill="0063A6"/>
          </w:tcPr>
          <w:p>
            <w:pPr>
              <w:spacing w:after="0"/>
              <w:rPr>
                <w:sz w:val="14"/>
                <w:szCs w:val="14"/>
                <w:color w:val="auto"/>
              </w:rPr>
            </w:pPr>
          </w:p>
        </w:tc>
        <w:tc>
          <w:tcPr>
            <w:tcW w:w="20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660" w:type="dxa"/>
            <w:vAlign w:val="bottom"/>
            <w:shd w:val="clear" w:color="auto" w:fill="0063A6"/>
          </w:tcPr>
          <w:p>
            <w:pPr>
              <w:jc w:val="right"/>
              <w:ind w:right="68"/>
              <w:spacing w:after="0"/>
              <w:rPr>
                <w:sz w:val="20"/>
                <w:szCs w:val="20"/>
                <w:color w:val="auto"/>
              </w:rPr>
            </w:pPr>
            <w:r>
              <w:rPr>
                <w:rFonts w:ascii="Arial" w:cs="Arial" w:eastAsia="Arial" w:hAnsi="Arial"/>
                <w:sz w:val="4"/>
                <w:szCs w:val="4"/>
                <w:color w:val="auto"/>
              </w:rPr>
              <w:t>​</w:t>
            </w:r>
          </w:p>
        </w:tc>
        <w:tc>
          <w:tcPr>
            <w:tcW w:w="360" w:type="dxa"/>
            <w:vAlign w:val="bottom"/>
            <w:shd w:val="clear" w:color="auto" w:fill="0063A6"/>
          </w:tcPr>
          <w:p>
            <w:pPr>
              <w:ind w:left="120"/>
              <w:spacing w:after="0"/>
              <w:rPr>
                <w:sz w:val="20"/>
                <w:szCs w:val="20"/>
                <w:color w:val="auto"/>
              </w:rPr>
            </w:pPr>
            <w:r>
              <w:rPr>
                <w:rFonts w:ascii="Arial" w:cs="Arial" w:eastAsia="Arial" w:hAnsi="Arial"/>
                <w:sz w:val="4"/>
                <w:szCs w:val="4"/>
                <w:color w:val="auto"/>
              </w:rPr>
              <w:t>​</w:t>
            </w:r>
          </w:p>
        </w:tc>
        <w:tc>
          <w:tcPr>
            <w:tcW w:w="1060" w:type="dxa"/>
            <w:vAlign w:val="bottom"/>
            <w:vMerge w:val="continue"/>
            <w:shd w:val="clear" w:color="auto" w:fill="0063A6"/>
          </w:tcPr>
          <w:p>
            <w:pPr>
              <w:spacing w:after="0"/>
              <w:rPr>
                <w:sz w:val="14"/>
                <w:szCs w:val="14"/>
                <w:color w:val="auto"/>
              </w:rPr>
            </w:pPr>
          </w:p>
        </w:tc>
        <w:tc>
          <w:tcPr>
            <w:tcW w:w="16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0063A6"/>
          </w:tcPr>
          <w:p>
            <w:pPr>
              <w:ind w:left="100"/>
              <w:spacing w:after="0"/>
              <w:rPr>
                <w:sz w:val="20"/>
                <w:szCs w:val="20"/>
                <w:color w:val="auto"/>
              </w:rPr>
            </w:pPr>
            <w:r>
              <w:rPr>
                <w:rFonts w:ascii="Arial" w:cs="Arial" w:eastAsia="Arial" w:hAnsi="Arial"/>
                <w:sz w:val="4"/>
                <w:szCs w:val="4"/>
                <w:color w:val="auto"/>
              </w:rPr>
              <w:t>​</w:t>
            </w:r>
          </w:p>
        </w:tc>
        <w:tc>
          <w:tcPr>
            <w:tcW w:w="520" w:type="dxa"/>
            <w:vAlign w:val="bottom"/>
            <w:shd w:val="clear" w:color="auto" w:fill="0063A6"/>
          </w:tcPr>
          <w:p>
            <w:pPr>
              <w:jc w:val="right"/>
              <w:ind w:right="191"/>
              <w:spacing w:after="0"/>
              <w:rPr>
                <w:sz w:val="20"/>
                <w:szCs w:val="20"/>
                <w:color w:val="auto"/>
              </w:rPr>
            </w:pPr>
            <w:r>
              <w:rPr>
                <w:rFonts w:ascii="Arial" w:cs="Arial" w:eastAsia="Arial" w:hAnsi="Arial"/>
                <w:sz w:val="4"/>
                <w:szCs w:val="4"/>
                <w:color w:val="auto"/>
              </w:rPr>
              <w:t>​</w:t>
            </w:r>
          </w:p>
        </w:tc>
        <w:tc>
          <w:tcPr>
            <w:tcW w:w="140" w:type="dxa"/>
            <w:vAlign w:val="bottom"/>
            <w:shd w:val="clear" w:color="auto" w:fill="0063A6"/>
          </w:tcPr>
          <w:p>
            <w:pPr>
              <w:spacing w:after="0"/>
              <w:rPr>
                <w:sz w:val="14"/>
                <w:szCs w:val="14"/>
                <w:color w:val="auto"/>
              </w:rPr>
            </w:pPr>
          </w:p>
        </w:tc>
        <w:tc>
          <w:tcPr>
            <w:tcW w:w="1100" w:type="dxa"/>
            <w:vAlign w:val="bottom"/>
            <w:vMerge w:val="continue"/>
            <w:shd w:val="clear" w:color="auto" w:fill="0063A6"/>
          </w:tcPr>
          <w:p>
            <w:pPr>
              <w:spacing w:after="0"/>
              <w:rPr>
                <w:sz w:val="14"/>
                <w:szCs w:val="14"/>
                <w:color w:val="auto"/>
              </w:rPr>
            </w:pPr>
          </w:p>
        </w:tc>
        <w:tc>
          <w:tcPr>
            <w:tcW w:w="1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0063A6"/>
          </w:tcPr>
          <w:p>
            <w:pPr>
              <w:spacing w:after="0"/>
              <w:rPr>
                <w:sz w:val="22"/>
                <w:szCs w:val="22"/>
                <w:color w:val="auto"/>
              </w:rPr>
            </w:pPr>
          </w:p>
        </w:tc>
        <w:tc>
          <w:tcPr>
            <w:tcW w:w="40" w:type="dxa"/>
            <w:vAlign w:val="bottom"/>
            <w:shd w:val="clear" w:color="auto" w:fill="0063A6"/>
          </w:tcPr>
          <w:p>
            <w:pPr>
              <w:spacing w:after="0"/>
              <w:rPr>
                <w:sz w:val="22"/>
                <w:szCs w:val="22"/>
                <w:color w:val="auto"/>
              </w:rPr>
            </w:pPr>
          </w:p>
        </w:tc>
        <w:tc>
          <w:tcPr>
            <w:tcW w:w="3220" w:type="dxa"/>
            <w:vAlign w:val="bottom"/>
            <w:gridSpan w:val="2"/>
            <w:vMerge w:val="continue"/>
            <w:shd w:val="clear" w:color="auto" w:fill="0063A6"/>
          </w:tcPr>
          <w:p>
            <w:pPr>
              <w:spacing w:after="0"/>
              <w:rPr>
                <w:sz w:val="22"/>
                <w:szCs w:val="22"/>
                <w:color w:val="auto"/>
              </w:rPr>
            </w:pPr>
          </w:p>
        </w:tc>
        <w:tc>
          <w:tcPr>
            <w:tcW w:w="140" w:type="dxa"/>
            <w:vAlign w:val="bottom"/>
            <w:shd w:val="clear" w:color="auto" w:fill="0063A6"/>
          </w:tcPr>
          <w:p>
            <w:pPr>
              <w:spacing w:after="0"/>
              <w:rPr>
                <w:sz w:val="22"/>
                <w:szCs w:val="22"/>
                <w:color w:val="auto"/>
              </w:rPr>
            </w:pPr>
          </w:p>
        </w:tc>
        <w:tc>
          <w:tcPr>
            <w:tcW w:w="240" w:type="dxa"/>
            <w:vAlign w:val="bottom"/>
            <w:shd w:val="clear" w:color="auto" w:fill="0063A6"/>
          </w:tcPr>
          <w:p>
            <w:pPr>
              <w:spacing w:after="0"/>
              <w:rPr>
                <w:sz w:val="22"/>
                <w:szCs w:val="22"/>
                <w:color w:val="auto"/>
              </w:rPr>
            </w:pPr>
          </w:p>
        </w:tc>
        <w:tc>
          <w:tcPr>
            <w:tcW w:w="1180" w:type="dxa"/>
            <w:vAlign w:val="bottom"/>
            <w:shd w:val="clear" w:color="auto" w:fill="0063A6"/>
          </w:tcPr>
          <w:p>
            <w:pPr>
              <w:jc w:val="center"/>
              <w:ind w:left="43"/>
              <w:spacing w:after="0"/>
              <w:rPr>
                <w:sz w:val="20"/>
                <w:szCs w:val="20"/>
                <w:color w:val="auto"/>
              </w:rPr>
            </w:pPr>
            <w:r>
              <w:rPr>
                <w:rFonts w:ascii="Arial" w:cs="Arial" w:eastAsia="Arial" w:hAnsi="Arial"/>
                <w:sz w:val="14"/>
                <w:szCs w:val="14"/>
                <w:b w:val="1"/>
                <w:bCs w:val="1"/>
                <w:color w:val="FFFFFF"/>
              </w:rPr>
              <w:t>Common Stock</w:t>
            </w:r>
          </w:p>
        </w:tc>
        <w:tc>
          <w:tcPr>
            <w:tcW w:w="200" w:type="dxa"/>
            <w:vAlign w:val="bottom"/>
            <w:shd w:val="clear" w:color="auto" w:fill="0063A6"/>
          </w:tcPr>
          <w:p>
            <w:pPr>
              <w:spacing w:after="0"/>
              <w:rPr>
                <w:sz w:val="22"/>
                <w:szCs w:val="22"/>
                <w:color w:val="auto"/>
              </w:rPr>
            </w:pPr>
          </w:p>
        </w:tc>
        <w:tc>
          <w:tcPr>
            <w:tcW w:w="180" w:type="dxa"/>
            <w:vAlign w:val="bottom"/>
            <w:shd w:val="clear" w:color="auto" w:fill="0063A6"/>
          </w:tcPr>
          <w:p>
            <w:pPr>
              <w:spacing w:after="0"/>
              <w:rPr>
                <w:sz w:val="22"/>
                <w:szCs w:val="22"/>
                <w:color w:val="auto"/>
              </w:rPr>
            </w:pPr>
          </w:p>
        </w:tc>
        <w:tc>
          <w:tcPr>
            <w:tcW w:w="66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0063A6"/>
          </w:tcPr>
          <w:p>
            <w:pPr>
              <w:spacing w:after="0"/>
              <w:rPr>
                <w:sz w:val="22"/>
                <w:szCs w:val="22"/>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0063A6"/>
          </w:tcPr>
          <w:p>
            <w:pPr>
              <w:spacing w:after="0"/>
              <w:rPr>
                <w:sz w:val="22"/>
                <w:szCs w:val="22"/>
                <w:color w:val="auto"/>
              </w:rPr>
            </w:pPr>
          </w:p>
        </w:tc>
        <w:tc>
          <w:tcPr>
            <w:tcW w:w="220" w:type="dxa"/>
            <w:vAlign w:val="bottom"/>
            <w:shd w:val="clear" w:color="auto" w:fill="0063A6"/>
          </w:tcPr>
          <w:p>
            <w:pPr>
              <w:spacing w:after="0"/>
              <w:rPr>
                <w:sz w:val="22"/>
                <w:szCs w:val="22"/>
                <w:color w:val="auto"/>
              </w:rPr>
            </w:pPr>
          </w:p>
        </w:tc>
        <w:tc>
          <w:tcPr>
            <w:tcW w:w="520" w:type="dxa"/>
            <w:vAlign w:val="bottom"/>
            <w:shd w:val="clear" w:color="auto" w:fill="0063A6"/>
          </w:tcPr>
          <w:p>
            <w:pPr>
              <w:jc w:val="center"/>
              <w:ind w:right="71"/>
              <w:spacing w:after="0"/>
              <w:rPr>
                <w:sz w:val="20"/>
                <w:szCs w:val="20"/>
                <w:color w:val="auto"/>
              </w:rPr>
            </w:pPr>
            <w:r>
              <w:rPr>
                <w:rFonts w:ascii="Arial" w:cs="Arial" w:eastAsia="Arial" w:hAnsi="Arial"/>
                <w:sz w:val="14"/>
                <w:szCs w:val="14"/>
                <w:b w:val="1"/>
                <w:bCs w:val="1"/>
                <w:color w:val="FFFFFF"/>
                <w:w w:val="96"/>
              </w:rPr>
              <w:t>%</w:t>
            </w:r>
          </w:p>
        </w:tc>
        <w:tc>
          <w:tcPr>
            <w:tcW w:w="140" w:type="dxa"/>
            <w:vAlign w:val="bottom"/>
            <w:shd w:val="clear" w:color="auto" w:fill="0063A6"/>
          </w:tcPr>
          <w:p>
            <w:pPr>
              <w:spacing w:after="0"/>
              <w:rPr>
                <w:sz w:val="22"/>
                <w:szCs w:val="22"/>
                <w:color w:val="auto"/>
              </w:rPr>
            </w:pPr>
          </w:p>
        </w:tc>
        <w:tc>
          <w:tcPr>
            <w:tcW w:w="1100" w:type="dxa"/>
            <w:vAlign w:val="bottom"/>
            <w:shd w:val="clear" w:color="auto" w:fill="0063A6"/>
          </w:tcPr>
          <w:p>
            <w:pPr>
              <w:jc w:val="center"/>
              <w:ind w:left="22"/>
              <w:spacing w:after="0" w:line="256"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100" w:type="dxa"/>
            <w:vAlign w:val="bottom"/>
            <w:shd w:val="clear" w:color="auto" w:fill="0063A6"/>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p>
        </w:tc>
        <w:tc>
          <w:tcPr>
            <w:tcW w:w="3220" w:type="dxa"/>
            <w:vAlign w:val="bottom"/>
            <w:gridSpan w:val="2"/>
            <w:shd w:val="clear" w:color="auto" w:fill="F2F2F2"/>
          </w:tcPr>
          <w:p>
            <w:pPr>
              <w:spacing w:after="0"/>
              <w:rPr>
                <w:sz w:val="20"/>
                <w:szCs w:val="20"/>
                <w:color w:val="auto"/>
              </w:rPr>
            </w:pPr>
            <w:r>
              <w:rPr>
                <w:rFonts w:ascii="Arial" w:cs="Arial" w:eastAsia="Arial" w:hAnsi="Arial"/>
                <w:sz w:val="16"/>
                <w:szCs w:val="16"/>
                <w:b w:val="1"/>
                <w:bCs w:val="1"/>
                <w:color w:val="auto"/>
              </w:rPr>
              <w:t>Greater than 5% stockholders</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jc w:val="right"/>
              <w:ind w:right="68"/>
              <w:spacing w:after="0"/>
              <w:rPr>
                <w:sz w:val="20"/>
                <w:szCs w:val="20"/>
                <w:color w:val="auto"/>
              </w:rPr>
            </w:pPr>
            <w:r>
              <w:rPr>
                <w:rFonts w:ascii="Arial" w:cs="Arial" w:eastAsia="Arial" w:hAnsi="Arial"/>
                <w:sz w:val="4"/>
                <w:szCs w:val="4"/>
                <w:color w:val="auto"/>
              </w:rPr>
              <w:t>​</w:t>
            </w:r>
          </w:p>
        </w:tc>
        <w:tc>
          <w:tcPr>
            <w:tcW w:w="36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06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jc w:val="right"/>
              <w:ind w:right="191"/>
              <w:spacing w:after="0"/>
              <w:rPr>
                <w:sz w:val="20"/>
                <w:szCs w:val="20"/>
                <w:color w:val="auto"/>
              </w:rPr>
            </w:pPr>
            <w:r>
              <w:rPr>
                <w:rFonts w:ascii="Arial" w:cs="Arial" w:eastAsia="Arial" w:hAnsi="Arial"/>
                <w:sz w:val="4"/>
                <w:szCs w:val="4"/>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spacing w:after="0"/>
              <w:rPr>
                <w:sz w:val="24"/>
                <w:szCs w:val="24"/>
                <w:color w:val="auto"/>
              </w:rPr>
            </w:pP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87"/>
        </w:trPr>
        <w:tc>
          <w:tcPr>
            <w:tcW w:w="40" w:type="dxa"/>
            <w:vAlign w:val="bottom"/>
            <w:shd w:val="clear" w:color="auto" w:fill="F2F2F2"/>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3220" w:type="dxa"/>
            <w:vAlign w:val="bottom"/>
            <w:gridSpan w:val="2"/>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18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360" w:type="dxa"/>
            <w:vAlign w:val="bottom"/>
            <w:shd w:val="clear" w:color="auto" w:fill="F2F2F2"/>
          </w:tcPr>
          <w:p>
            <w:pPr>
              <w:spacing w:after="0"/>
              <w:rPr>
                <w:sz w:val="7"/>
                <w:szCs w:val="7"/>
                <w:color w:val="auto"/>
              </w:rPr>
            </w:pPr>
          </w:p>
        </w:tc>
        <w:tc>
          <w:tcPr>
            <w:tcW w:w="10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5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80" w:type="dxa"/>
            <w:vAlign w:val="bottom"/>
            <w:gridSpan w:val="2"/>
            <w:vMerge w:val="restart"/>
          </w:tcPr>
          <w:p>
            <w:pPr>
              <w:spacing w:after="0"/>
              <w:rPr>
                <w:sz w:val="20"/>
                <w:szCs w:val="20"/>
                <w:color w:val="auto"/>
              </w:rPr>
            </w:pPr>
            <w:r>
              <w:rPr>
                <w:rFonts w:ascii="Arial" w:cs="Arial" w:eastAsia="Arial" w:hAnsi="Arial"/>
                <w:sz w:val="4"/>
                <w:szCs w:val="4"/>
                <w:color w:val="auto"/>
              </w:rPr>
              <w:t>​</w:t>
            </w:r>
          </w:p>
        </w:tc>
        <w:tc>
          <w:tcPr>
            <w:tcW w:w="3220" w:type="dxa"/>
            <w:vAlign w:val="bottom"/>
            <w:gridSpan w:val="2"/>
          </w:tcPr>
          <w:p>
            <w:pPr>
              <w:spacing w:after="0"/>
              <w:rPr>
                <w:sz w:val="20"/>
                <w:szCs w:val="20"/>
                <w:color w:val="auto"/>
              </w:rPr>
            </w:pPr>
            <w:r>
              <w:rPr>
                <w:rFonts w:ascii="Arial" w:cs="Arial" w:eastAsia="Arial" w:hAnsi="Arial"/>
                <w:sz w:val="16"/>
                <w:szCs w:val="16"/>
                <w:color w:val="auto"/>
              </w:rPr>
              <w:t>Entities affiliated with The Vanguard</w:t>
            </w:r>
          </w:p>
        </w:tc>
        <w:tc>
          <w:tcPr>
            <w:tcW w:w="140" w:type="dxa"/>
            <w:vAlign w:val="bottom"/>
            <w:vMerge w:val="restart"/>
          </w:tcPr>
          <w:p>
            <w:pPr>
              <w:spacing w:after="0"/>
              <w:rPr>
                <w:sz w:val="20"/>
                <w:szCs w:val="20"/>
                <w:color w:val="auto"/>
              </w:rPr>
            </w:pPr>
            <w:r>
              <w:rPr>
                <w:rFonts w:ascii="Arial" w:cs="Arial" w:eastAsia="Arial" w:hAnsi="Arial"/>
                <w:sz w:val="4"/>
                <w:szCs w:val="4"/>
                <w:color w:val="auto"/>
              </w:rPr>
              <w:t>​</w:t>
            </w:r>
          </w:p>
        </w:tc>
        <w:tc>
          <w:tcPr>
            <w:tcW w:w="240" w:type="dxa"/>
            <w:vAlign w:val="bottom"/>
            <w:vMerge w:val="restart"/>
          </w:tcPr>
          <w:p>
            <w:pPr>
              <w:ind w:left="120"/>
              <w:spacing w:after="0"/>
              <w:rPr>
                <w:sz w:val="20"/>
                <w:szCs w:val="20"/>
                <w:color w:val="auto"/>
              </w:rPr>
            </w:pPr>
            <w:r>
              <w:rPr>
                <w:rFonts w:ascii="Arial" w:cs="Arial" w:eastAsia="Arial" w:hAnsi="Arial"/>
                <w:sz w:val="4"/>
                <w:szCs w:val="4"/>
                <w:color w:val="auto"/>
              </w:rPr>
              <w:t>​</w:t>
            </w:r>
          </w:p>
        </w:tc>
        <w:tc>
          <w:tcPr>
            <w:tcW w:w="1180" w:type="dxa"/>
            <w:vAlign w:val="bottom"/>
          </w:tcPr>
          <w:p>
            <w:pPr>
              <w:spacing w:after="0"/>
              <w:rPr>
                <w:sz w:val="24"/>
                <w:szCs w:val="24"/>
                <w:color w:val="auto"/>
              </w:rPr>
            </w:pPr>
          </w:p>
        </w:tc>
        <w:tc>
          <w:tcPr>
            <w:tcW w:w="200" w:type="dxa"/>
            <w:vAlign w:val="bottom"/>
            <w:vMerge w:val="restart"/>
          </w:tcPr>
          <w:p>
            <w:pPr>
              <w:spacing w:after="0"/>
              <w:rPr>
                <w:sz w:val="20"/>
                <w:szCs w:val="20"/>
                <w:color w:val="auto"/>
              </w:rPr>
            </w:pPr>
            <w:r>
              <w:rPr>
                <w:rFonts w:ascii="Arial" w:cs="Arial" w:eastAsia="Arial" w:hAnsi="Arial"/>
                <w:sz w:val="4"/>
                <w:szCs w:val="4"/>
                <w:color w:val="auto"/>
              </w:rPr>
              <w:t>​</w:t>
            </w:r>
          </w:p>
        </w:tc>
        <w:tc>
          <w:tcPr>
            <w:tcW w:w="180" w:type="dxa"/>
            <w:vAlign w:val="bottom"/>
            <w:vMerge w:val="restart"/>
          </w:tcPr>
          <w:p>
            <w:pPr>
              <w:ind w:left="60"/>
              <w:spacing w:after="0"/>
              <w:rPr>
                <w:sz w:val="20"/>
                <w:szCs w:val="20"/>
                <w:color w:val="auto"/>
              </w:rPr>
            </w:pPr>
            <w:r>
              <w:rPr>
                <w:rFonts w:ascii="Arial" w:cs="Arial" w:eastAsia="Arial" w:hAnsi="Arial"/>
                <w:sz w:val="4"/>
                <w:szCs w:val="4"/>
                <w:color w:val="auto"/>
              </w:rPr>
              <w:t>​</w:t>
            </w:r>
          </w:p>
        </w:tc>
        <w:tc>
          <w:tcPr>
            <w:tcW w:w="660" w:type="dxa"/>
            <w:vAlign w:val="bottom"/>
            <w:vMerge w:val="restart"/>
          </w:tcPr>
          <w:p>
            <w:pPr>
              <w:jc w:val="right"/>
              <w:ind w:right="68"/>
              <w:spacing w:after="0"/>
              <w:rPr>
                <w:sz w:val="20"/>
                <w:szCs w:val="20"/>
                <w:color w:val="auto"/>
              </w:rPr>
            </w:pPr>
            <w:r>
              <w:rPr>
                <w:rFonts w:ascii="Arial" w:cs="Arial" w:eastAsia="Arial" w:hAnsi="Arial"/>
                <w:sz w:val="4"/>
                <w:szCs w:val="4"/>
                <w:color w:val="auto"/>
              </w:rPr>
              <w:t>​</w:t>
            </w:r>
          </w:p>
        </w:tc>
        <w:tc>
          <w:tcPr>
            <w:tcW w:w="360" w:type="dxa"/>
            <w:vAlign w:val="bottom"/>
            <w:vMerge w:val="restart"/>
          </w:tcPr>
          <w:p>
            <w:pPr>
              <w:ind w:left="120"/>
              <w:spacing w:after="0"/>
              <w:rPr>
                <w:sz w:val="20"/>
                <w:szCs w:val="20"/>
                <w:color w:val="auto"/>
              </w:rPr>
            </w:pPr>
            <w:r>
              <w:rPr>
                <w:rFonts w:ascii="Arial" w:cs="Arial" w:eastAsia="Arial" w:hAnsi="Arial"/>
                <w:sz w:val="4"/>
                <w:szCs w:val="4"/>
                <w:color w:val="auto"/>
              </w:rPr>
              <w:t>​</w:t>
            </w:r>
          </w:p>
        </w:tc>
        <w:tc>
          <w:tcPr>
            <w:tcW w:w="10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4"/>
                <w:szCs w:val="4"/>
                <w:color w:val="auto"/>
              </w:rPr>
              <w:t>​</w:t>
            </w:r>
          </w:p>
        </w:tc>
        <w:tc>
          <w:tcPr>
            <w:tcW w:w="220" w:type="dxa"/>
            <w:vAlign w:val="bottom"/>
            <w:vMerge w:val="restart"/>
          </w:tcPr>
          <w:p>
            <w:pPr>
              <w:ind w:left="100"/>
              <w:spacing w:after="0"/>
              <w:rPr>
                <w:sz w:val="20"/>
                <w:szCs w:val="20"/>
                <w:color w:val="auto"/>
              </w:rPr>
            </w:pPr>
            <w:r>
              <w:rPr>
                <w:rFonts w:ascii="Arial" w:cs="Arial" w:eastAsia="Arial" w:hAnsi="Arial"/>
                <w:sz w:val="4"/>
                <w:szCs w:val="4"/>
                <w:color w:val="auto"/>
              </w:rPr>
              <w:t>​</w:t>
            </w:r>
          </w:p>
        </w:tc>
        <w:tc>
          <w:tcPr>
            <w:tcW w:w="520" w:type="dxa"/>
            <w:vAlign w:val="bottom"/>
            <w:vMerge w:val="restart"/>
          </w:tcPr>
          <w:p>
            <w:pPr>
              <w:jc w:val="right"/>
              <w:ind w:right="191"/>
              <w:spacing w:after="0"/>
              <w:rPr>
                <w:sz w:val="20"/>
                <w:szCs w:val="20"/>
                <w:color w:val="auto"/>
              </w:rPr>
            </w:pPr>
            <w:r>
              <w:rPr>
                <w:rFonts w:ascii="Arial" w:cs="Arial" w:eastAsia="Arial" w:hAnsi="Arial"/>
                <w:sz w:val="4"/>
                <w:szCs w:val="4"/>
                <w:color w:val="auto"/>
              </w:rPr>
              <w:t>​</w:t>
            </w:r>
          </w:p>
        </w:tc>
        <w:tc>
          <w:tcPr>
            <w:tcW w:w="140" w:type="dxa"/>
            <w:vAlign w:val="bottom"/>
            <w:vMerge w:val="restart"/>
          </w:tcPr>
          <w:p>
            <w:pPr>
              <w:ind w:left="20"/>
              <w:spacing w:after="0"/>
              <w:rPr>
                <w:sz w:val="20"/>
                <w:szCs w:val="20"/>
                <w:color w:val="auto"/>
              </w:rPr>
            </w:pPr>
            <w:r>
              <w:rPr>
                <w:rFonts w:ascii="Arial" w:cs="Arial" w:eastAsia="Arial" w:hAnsi="Arial"/>
                <w:sz w:val="4"/>
                <w:szCs w:val="4"/>
                <w:color w:val="auto"/>
              </w:rPr>
              <w:t>​</w:t>
            </w:r>
          </w:p>
        </w:tc>
        <w:tc>
          <w:tcPr>
            <w:tcW w:w="110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8"/>
        </w:trPr>
        <w:tc>
          <w:tcPr>
            <w:tcW w:w="80" w:type="dxa"/>
            <w:vAlign w:val="bottom"/>
            <w:gridSpan w:val="2"/>
            <w:vMerge w:val="continue"/>
          </w:tcPr>
          <w:p>
            <w:pPr>
              <w:spacing w:after="0"/>
              <w:rPr>
                <w:sz w:val="3"/>
                <w:szCs w:val="3"/>
                <w:color w:val="auto"/>
              </w:rPr>
            </w:pPr>
          </w:p>
        </w:tc>
        <w:tc>
          <w:tcPr>
            <w:tcW w:w="3220" w:type="dxa"/>
            <w:vAlign w:val="bottom"/>
            <w:gridSpan w:val="2"/>
            <w:vMerge w:val="restart"/>
          </w:tcPr>
          <w:p>
            <w:pPr>
              <w:spacing w:after="0"/>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(3)</w:t>
            </w:r>
          </w:p>
        </w:tc>
        <w:tc>
          <w:tcPr>
            <w:tcW w:w="14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29,649,959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10.90</w:t>
            </w:r>
          </w:p>
        </w:tc>
        <w:tc>
          <w:tcPr>
            <w:tcW w:w="3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center"/>
              <w:ind w:right="7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p>
        </w:tc>
        <w:tc>
          <w:tcPr>
            <w:tcW w:w="322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6"/>
                <w:szCs w:val="26"/>
                <w:color w:val="auto"/>
                <w:vertAlign w:val="superscript"/>
              </w:rPr>
              <w:t>(4)</w:t>
            </w:r>
          </w:p>
        </w:tc>
        <w:tc>
          <w:tcPr>
            <w:tcW w:w="1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4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jc w:val="center"/>
              <w:ind w:left="23"/>
              <w:spacing w:after="0"/>
              <w:rPr>
                <w:sz w:val="20"/>
                <w:szCs w:val="20"/>
                <w:color w:val="auto"/>
              </w:rPr>
            </w:pPr>
            <w:r>
              <w:rPr>
                <w:rFonts w:ascii="Arial" w:cs="Arial" w:eastAsia="Arial" w:hAnsi="Arial"/>
                <w:sz w:val="16"/>
                <w:szCs w:val="16"/>
                <w:color w:val="auto"/>
                <w:w w:val="99"/>
              </w:rPr>
              <w:t>19,920,526</w:t>
            </w:r>
          </w:p>
        </w:tc>
        <w:tc>
          <w:tcPr>
            <w:tcW w:w="2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660" w:type="dxa"/>
            <w:vAlign w:val="bottom"/>
            <w:shd w:val="clear" w:color="auto" w:fill="F2F2F2"/>
          </w:tcPr>
          <w:p>
            <w:pPr>
              <w:jc w:val="right"/>
              <w:ind w:right="68"/>
              <w:spacing w:after="0"/>
              <w:rPr>
                <w:sz w:val="20"/>
                <w:szCs w:val="20"/>
                <w:color w:val="auto"/>
              </w:rPr>
            </w:pPr>
            <w:r>
              <w:rPr>
                <w:rFonts w:ascii="Arial" w:cs="Arial" w:eastAsia="Arial" w:hAnsi="Arial"/>
                <w:sz w:val="16"/>
                <w:szCs w:val="16"/>
                <w:color w:val="auto"/>
              </w:rPr>
              <w:t xml:space="preserve">​ 7.32 </w:t>
            </w:r>
            <w:r>
              <w:rPr>
                <w:rFonts w:ascii="Arial" w:cs="Arial" w:eastAsia="Arial" w:hAnsi="Arial"/>
                <w:sz w:val="3"/>
                <w:szCs w:val="3"/>
                <w:color w:val="auto"/>
              </w:rPr>
              <w:t>​</w:t>
            </w:r>
          </w:p>
        </w:tc>
        <w:tc>
          <w:tcPr>
            <w:tcW w:w="360" w:type="dxa"/>
            <w:vAlign w:val="bottom"/>
            <w:shd w:val="clear" w:color="auto" w:fill="F2F2F2"/>
          </w:tcPr>
          <w:p>
            <w:pPr>
              <w:ind w:left="120"/>
              <w:spacing w:after="0"/>
              <w:rPr>
                <w:sz w:val="20"/>
                <w:szCs w:val="20"/>
                <w:color w:val="auto"/>
              </w:rPr>
            </w:pPr>
            <w:r>
              <w:rPr>
                <w:rFonts w:ascii="Arial" w:cs="Arial" w:eastAsia="Arial" w:hAnsi="Arial"/>
                <w:sz w:val="4"/>
                <w:szCs w:val="4"/>
                <w:color w:val="auto"/>
              </w:rPr>
              <w:t>​</w:t>
            </w: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4"/>
                <w:szCs w:val="4"/>
                <w:color w:val="auto"/>
              </w:rPr>
              <w:t>​</w:t>
            </w:r>
          </w:p>
        </w:tc>
        <w:tc>
          <w:tcPr>
            <w:tcW w:w="520" w:type="dxa"/>
            <w:vAlign w:val="bottom"/>
            <w:shd w:val="clear" w:color="auto" w:fill="F2F2F2"/>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3"/>
                <w:szCs w:val="3"/>
                <w:color w:val="auto"/>
              </w:rPr>
              <w:t>​</w:t>
            </w:r>
          </w:p>
        </w:tc>
        <w:tc>
          <w:tcPr>
            <w:tcW w:w="140" w:type="dxa"/>
            <w:vAlign w:val="bottom"/>
            <w:shd w:val="clear" w:color="auto" w:fill="F2F2F2"/>
          </w:tcPr>
          <w:p>
            <w:pPr>
              <w:ind w:left="2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418"/>
        </w:trPr>
        <w:tc>
          <w:tcPr>
            <w:tcW w:w="80" w:type="dxa"/>
            <w:vAlign w:val="bottom"/>
            <w:gridSpan w:val="2"/>
          </w:tcPr>
          <w:p>
            <w:pPr>
              <w:spacing w:after="0"/>
              <w:rPr>
                <w:sz w:val="20"/>
                <w:szCs w:val="20"/>
                <w:color w:val="auto"/>
              </w:rPr>
            </w:pPr>
            <w:r>
              <w:rPr>
                <w:rFonts w:ascii="Arial" w:cs="Arial" w:eastAsia="Arial" w:hAnsi="Arial"/>
                <w:sz w:val="4"/>
                <w:szCs w:val="4"/>
                <w:color w:val="auto"/>
              </w:rPr>
              <w:t>​</w:t>
            </w:r>
          </w:p>
        </w:tc>
        <w:tc>
          <w:tcPr>
            <w:tcW w:w="3220" w:type="dxa"/>
            <w:vAlign w:val="bottom"/>
            <w:gridSpan w:val="2"/>
          </w:tcPr>
          <w:p>
            <w:pPr>
              <w:spacing w:after="0"/>
              <w:rPr>
                <w:sz w:val="20"/>
                <w:szCs w:val="20"/>
                <w:color w:val="auto"/>
              </w:rPr>
            </w:pPr>
            <w:r>
              <w:rPr>
                <w:rFonts w:ascii="Arial" w:cs="Arial" w:eastAsia="Arial" w:hAnsi="Arial"/>
                <w:sz w:val="16"/>
                <w:szCs w:val="16"/>
                <w:color w:val="auto"/>
              </w:rPr>
              <w:t>Ameriprise Financial, Inc.</w:t>
            </w:r>
            <w:r>
              <w:rPr>
                <w:rFonts w:ascii="Arial" w:cs="Arial" w:eastAsia="Arial" w:hAnsi="Arial"/>
                <w:sz w:val="26"/>
                <w:szCs w:val="26"/>
                <w:color w:val="auto"/>
                <w:vertAlign w:val="superscript"/>
              </w:rPr>
              <w:t>(5)</w:t>
            </w:r>
          </w:p>
        </w:tc>
        <w:tc>
          <w:tcPr>
            <w:tcW w:w="140" w:type="dxa"/>
            <w:vAlign w:val="bottom"/>
          </w:tcPr>
          <w:p>
            <w:pPr>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1180" w:type="dxa"/>
            <w:vAlign w:val="bottom"/>
          </w:tcPr>
          <w:p>
            <w:pPr>
              <w:jc w:val="center"/>
              <w:ind w:left="23"/>
              <w:spacing w:after="0"/>
              <w:rPr>
                <w:sz w:val="20"/>
                <w:szCs w:val="20"/>
                <w:color w:val="auto"/>
              </w:rPr>
            </w:pPr>
            <w:r>
              <w:rPr>
                <w:rFonts w:ascii="Arial" w:cs="Arial" w:eastAsia="Arial" w:hAnsi="Arial"/>
                <w:sz w:val="16"/>
                <w:szCs w:val="16"/>
                <w:color w:val="auto"/>
                <w:w w:val="99"/>
              </w:rPr>
              <w:t>16,814,632</w:t>
            </w:r>
          </w:p>
        </w:tc>
        <w:tc>
          <w:tcPr>
            <w:tcW w:w="200" w:type="dxa"/>
            <w:vAlign w:val="bottom"/>
          </w:tcPr>
          <w:p>
            <w:pPr>
              <w:spacing w:after="0"/>
              <w:rPr>
                <w:sz w:val="20"/>
                <w:szCs w:val="20"/>
                <w:color w:val="auto"/>
              </w:rPr>
            </w:pPr>
            <w:r>
              <w:rPr>
                <w:rFonts w:ascii="Arial" w:cs="Arial" w:eastAsia="Arial" w:hAnsi="Arial"/>
                <w:sz w:val="4"/>
                <w:szCs w:val="4"/>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660" w:type="dxa"/>
            <w:vAlign w:val="bottom"/>
          </w:tcPr>
          <w:p>
            <w:pPr>
              <w:jc w:val="right"/>
              <w:ind w:right="68"/>
              <w:spacing w:after="0"/>
              <w:rPr>
                <w:sz w:val="20"/>
                <w:szCs w:val="20"/>
                <w:color w:val="auto"/>
              </w:rPr>
            </w:pPr>
            <w:r>
              <w:rPr>
                <w:rFonts w:ascii="Arial" w:cs="Arial" w:eastAsia="Arial" w:hAnsi="Arial"/>
                <w:sz w:val="16"/>
                <w:szCs w:val="16"/>
                <w:color w:val="auto"/>
              </w:rPr>
              <w:t xml:space="preserve">​ 6.18 </w:t>
            </w:r>
            <w:r>
              <w:rPr>
                <w:rFonts w:ascii="Arial" w:cs="Arial" w:eastAsia="Arial" w:hAnsi="Arial"/>
                <w:sz w:val="3"/>
                <w:szCs w:val="3"/>
                <w:color w:val="auto"/>
              </w:rPr>
              <w:t>​</w:t>
            </w:r>
          </w:p>
        </w:tc>
        <w:tc>
          <w:tcPr>
            <w:tcW w:w="360" w:type="dxa"/>
            <w:vAlign w:val="bottom"/>
          </w:tcPr>
          <w:p>
            <w:pPr>
              <w:ind w:left="120"/>
              <w:spacing w:after="0"/>
              <w:rPr>
                <w:sz w:val="20"/>
                <w:szCs w:val="20"/>
                <w:color w:val="auto"/>
              </w:rPr>
            </w:pPr>
            <w:r>
              <w:rPr>
                <w:rFonts w:ascii="Arial" w:cs="Arial" w:eastAsia="Arial" w:hAnsi="Arial"/>
                <w:sz w:val="4"/>
                <w:szCs w:val="4"/>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520" w:type="dxa"/>
            <w:vAlign w:val="bottom"/>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3"/>
                <w:szCs w:val="3"/>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83"/>
        </w:trPr>
        <w:tc>
          <w:tcPr>
            <w:tcW w:w="80" w:type="dxa"/>
            <w:vAlign w:val="bottom"/>
            <w:gridSpan w:val="2"/>
            <w:vMerge w:val="restart"/>
            <w:shd w:val="clear" w:color="auto" w:fill="F2F2F2"/>
          </w:tcPr>
          <w:p>
            <w:pPr>
              <w:spacing w:after="0"/>
              <w:rPr>
                <w:sz w:val="20"/>
                <w:szCs w:val="20"/>
                <w:color w:val="auto"/>
              </w:rPr>
            </w:pPr>
            <w:r>
              <w:rPr>
                <w:rFonts w:ascii="Arial" w:cs="Arial" w:eastAsia="Arial" w:hAnsi="Arial"/>
                <w:sz w:val="4"/>
                <w:szCs w:val="4"/>
                <w:color w:val="auto"/>
              </w:rPr>
              <w:t>​</w:t>
            </w:r>
          </w:p>
        </w:tc>
        <w:tc>
          <w:tcPr>
            <w:tcW w:w="322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Columbia Management Investment Advisers,</w:t>
            </w:r>
          </w:p>
        </w:tc>
        <w:tc>
          <w:tcPr>
            <w:tcW w:w="140" w:type="dxa"/>
            <w:vAlign w:val="bottom"/>
            <w:vMerge w:val="restart"/>
            <w:shd w:val="clear" w:color="auto" w:fill="F2F2F2"/>
          </w:tcPr>
          <w:p>
            <w:pPr>
              <w:spacing w:after="0"/>
              <w:rPr>
                <w:sz w:val="20"/>
                <w:szCs w:val="20"/>
                <w:color w:val="auto"/>
              </w:rPr>
            </w:pPr>
            <w:r>
              <w:rPr>
                <w:rFonts w:ascii="Arial" w:cs="Arial" w:eastAsia="Arial" w:hAnsi="Arial"/>
                <w:sz w:val="4"/>
                <w:szCs w:val="4"/>
                <w:color w:val="auto"/>
              </w:rPr>
              <w:t>​</w:t>
            </w:r>
          </w:p>
        </w:tc>
        <w:tc>
          <w:tcPr>
            <w:tcW w:w="240" w:type="dxa"/>
            <w:vAlign w:val="bottom"/>
            <w:vMerge w:val="restart"/>
            <w:shd w:val="clear" w:color="auto" w:fill="F2F2F2"/>
          </w:tcPr>
          <w:p>
            <w:pPr>
              <w:ind w:left="120"/>
              <w:spacing w:after="0"/>
              <w:rPr>
                <w:sz w:val="20"/>
                <w:szCs w:val="20"/>
                <w:color w:val="auto"/>
              </w:rPr>
            </w:pPr>
            <w:r>
              <w:rPr>
                <w:rFonts w:ascii="Arial" w:cs="Arial" w:eastAsia="Arial" w:hAnsi="Arial"/>
                <w:sz w:val="4"/>
                <w:szCs w:val="4"/>
                <w:color w:val="auto"/>
              </w:rPr>
              <w:t>​</w:t>
            </w:r>
          </w:p>
        </w:tc>
        <w:tc>
          <w:tcPr>
            <w:tcW w:w="1180" w:type="dxa"/>
            <w:vAlign w:val="bottom"/>
            <w:shd w:val="clear" w:color="auto" w:fill="F2F2F2"/>
          </w:tcPr>
          <w:p>
            <w:pPr>
              <w:spacing w:after="0"/>
              <w:rPr>
                <w:sz w:val="24"/>
                <w:szCs w:val="24"/>
                <w:color w:val="auto"/>
              </w:rPr>
            </w:pPr>
          </w:p>
        </w:tc>
        <w:tc>
          <w:tcPr>
            <w:tcW w:w="200" w:type="dxa"/>
            <w:vAlign w:val="bottom"/>
            <w:vMerge w:val="restart"/>
            <w:shd w:val="clear" w:color="auto" w:fill="F2F2F2"/>
          </w:tcPr>
          <w:p>
            <w:pPr>
              <w:spacing w:after="0"/>
              <w:rPr>
                <w:sz w:val="20"/>
                <w:szCs w:val="20"/>
                <w:color w:val="auto"/>
              </w:rPr>
            </w:pPr>
            <w:r>
              <w:rPr>
                <w:rFonts w:ascii="Arial" w:cs="Arial" w:eastAsia="Arial" w:hAnsi="Arial"/>
                <w:sz w:val="4"/>
                <w:szCs w:val="4"/>
                <w:color w:val="auto"/>
              </w:rPr>
              <w:t>​</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4"/>
                <w:szCs w:val="4"/>
                <w:color w:val="auto"/>
              </w:rPr>
              <w:t>​</w:t>
            </w:r>
          </w:p>
        </w:tc>
        <w:tc>
          <w:tcPr>
            <w:tcW w:w="660" w:type="dxa"/>
            <w:vAlign w:val="bottom"/>
            <w:vMerge w:val="restart"/>
            <w:shd w:val="clear" w:color="auto" w:fill="F2F2F2"/>
          </w:tcPr>
          <w:p>
            <w:pPr>
              <w:jc w:val="right"/>
              <w:ind w:right="68"/>
              <w:spacing w:after="0"/>
              <w:rPr>
                <w:sz w:val="20"/>
                <w:szCs w:val="20"/>
                <w:color w:val="auto"/>
              </w:rPr>
            </w:pPr>
            <w:r>
              <w:rPr>
                <w:rFonts w:ascii="Arial" w:cs="Arial" w:eastAsia="Arial" w:hAnsi="Arial"/>
                <w:sz w:val="4"/>
                <w:szCs w:val="4"/>
                <w:color w:val="auto"/>
              </w:rPr>
              <w:t>​</w:t>
            </w:r>
          </w:p>
        </w:tc>
        <w:tc>
          <w:tcPr>
            <w:tcW w:w="360" w:type="dxa"/>
            <w:vAlign w:val="bottom"/>
            <w:vMerge w:val="restart"/>
            <w:shd w:val="clear" w:color="auto" w:fill="F2F2F2"/>
          </w:tcPr>
          <w:p>
            <w:pPr>
              <w:ind w:left="120"/>
              <w:spacing w:after="0"/>
              <w:rPr>
                <w:sz w:val="20"/>
                <w:szCs w:val="20"/>
                <w:color w:val="auto"/>
              </w:rPr>
            </w:pPr>
            <w:r>
              <w:rPr>
                <w:rFonts w:ascii="Arial" w:cs="Arial" w:eastAsia="Arial" w:hAnsi="Arial"/>
                <w:sz w:val="4"/>
                <w:szCs w:val="4"/>
                <w:color w:val="auto"/>
              </w:rPr>
              <w:t>​</w:t>
            </w:r>
          </w:p>
        </w:tc>
        <w:tc>
          <w:tcPr>
            <w:tcW w:w="1060" w:type="dxa"/>
            <w:vAlign w:val="bottom"/>
            <w:shd w:val="clear" w:color="auto" w:fill="F2F2F2"/>
          </w:tcPr>
          <w:p>
            <w:pPr>
              <w:spacing w:after="0"/>
              <w:rPr>
                <w:sz w:val="24"/>
                <w:szCs w:val="24"/>
                <w:color w:val="auto"/>
              </w:rPr>
            </w:pPr>
          </w:p>
        </w:tc>
        <w:tc>
          <w:tcPr>
            <w:tcW w:w="160" w:type="dxa"/>
            <w:vAlign w:val="bottom"/>
            <w:vMerge w:val="restart"/>
            <w:shd w:val="clear" w:color="auto" w:fill="F2F2F2"/>
          </w:tcPr>
          <w:p>
            <w:pPr>
              <w:spacing w:after="0"/>
              <w:rPr>
                <w:sz w:val="20"/>
                <w:szCs w:val="20"/>
                <w:color w:val="auto"/>
              </w:rPr>
            </w:pPr>
            <w:r>
              <w:rPr>
                <w:rFonts w:ascii="Arial" w:cs="Arial" w:eastAsia="Arial" w:hAnsi="Arial"/>
                <w:sz w:val="4"/>
                <w:szCs w:val="4"/>
                <w:color w:val="auto"/>
              </w:rPr>
              <w:t>​</w:t>
            </w:r>
          </w:p>
        </w:tc>
        <w:tc>
          <w:tcPr>
            <w:tcW w:w="220" w:type="dxa"/>
            <w:vAlign w:val="bottom"/>
            <w:vMerge w:val="restart"/>
            <w:shd w:val="clear" w:color="auto" w:fill="F2F2F2"/>
          </w:tcPr>
          <w:p>
            <w:pPr>
              <w:ind w:left="100"/>
              <w:spacing w:after="0"/>
              <w:rPr>
                <w:sz w:val="20"/>
                <w:szCs w:val="20"/>
                <w:color w:val="auto"/>
              </w:rPr>
            </w:pPr>
            <w:r>
              <w:rPr>
                <w:rFonts w:ascii="Arial" w:cs="Arial" w:eastAsia="Arial" w:hAnsi="Arial"/>
                <w:sz w:val="4"/>
                <w:szCs w:val="4"/>
                <w:color w:val="auto"/>
              </w:rPr>
              <w:t>​</w:t>
            </w:r>
          </w:p>
        </w:tc>
        <w:tc>
          <w:tcPr>
            <w:tcW w:w="520" w:type="dxa"/>
            <w:vAlign w:val="bottom"/>
            <w:vMerge w:val="restart"/>
            <w:shd w:val="clear" w:color="auto" w:fill="F2F2F2"/>
          </w:tcPr>
          <w:p>
            <w:pPr>
              <w:jc w:val="right"/>
              <w:ind w:right="191"/>
              <w:spacing w:after="0"/>
              <w:rPr>
                <w:sz w:val="20"/>
                <w:szCs w:val="20"/>
                <w:color w:val="auto"/>
              </w:rPr>
            </w:pPr>
            <w:r>
              <w:rPr>
                <w:rFonts w:ascii="Arial" w:cs="Arial" w:eastAsia="Arial" w:hAnsi="Arial"/>
                <w:sz w:val="4"/>
                <w:szCs w:val="4"/>
                <w:color w:val="auto"/>
              </w:rPr>
              <w:t>​</w:t>
            </w:r>
          </w:p>
        </w:tc>
        <w:tc>
          <w:tcPr>
            <w:tcW w:w="140" w:type="dxa"/>
            <w:vAlign w:val="bottom"/>
            <w:vMerge w:val="restart"/>
            <w:shd w:val="clear" w:color="auto" w:fill="F2F2F2"/>
          </w:tcPr>
          <w:p>
            <w:pPr>
              <w:ind w:left="20"/>
              <w:spacing w:after="0"/>
              <w:rPr>
                <w:sz w:val="20"/>
                <w:szCs w:val="20"/>
                <w:color w:val="auto"/>
              </w:rPr>
            </w:pPr>
            <w:r>
              <w:rPr>
                <w:rFonts w:ascii="Arial" w:cs="Arial" w:eastAsia="Arial" w:hAnsi="Arial"/>
                <w:sz w:val="4"/>
                <w:szCs w:val="4"/>
                <w:color w:val="auto"/>
              </w:rPr>
              <w:t>​</w:t>
            </w:r>
          </w:p>
        </w:tc>
        <w:tc>
          <w:tcPr>
            <w:tcW w:w="1100" w:type="dxa"/>
            <w:vAlign w:val="bottom"/>
            <w:shd w:val="clear" w:color="auto" w:fill="F2F2F2"/>
          </w:tcPr>
          <w:p>
            <w:pPr>
              <w:spacing w:after="0"/>
              <w:rPr>
                <w:sz w:val="24"/>
                <w:szCs w:val="24"/>
                <w:color w:val="auto"/>
              </w:rPr>
            </w:pPr>
          </w:p>
        </w:tc>
        <w:tc>
          <w:tcPr>
            <w:tcW w:w="100" w:type="dxa"/>
            <w:vAlign w:val="bottom"/>
            <w:vMerge w:val="restart"/>
            <w:shd w:val="clear" w:color="auto" w:fill="F2F2F2"/>
          </w:tcPr>
          <w:p>
            <w:pPr>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38"/>
        </w:trPr>
        <w:tc>
          <w:tcPr>
            <w:tcW w:w="80" w:type="dxa"/>
            <w:vAlign w:val="bottom"/>
            <w:gridSpan w:val="2"/>
            <w:vMerge w:val="continue"/>
            <w:shd w:val="clear" w:color="auto" w:fill="F2F2F2"/>
          </w:tcPr>
          <w:p>
            <w:pPr>
              <w:spacing w:after="0"/>
              <w:rPr>
                <w:sz w:val="3"/>
                <w:szCs w:val="3"/>
                <w:color w:val="auto"/>
              </w:rPr>
            </w:pPr>
          </w:p>
        </w:tc>
        <w:tc>
          <w:tcPr>
            <w:tcW w:w="3220" w:type="dxa"/>
            <w:vAlign w:val="bottom"/>
            <w:gridSpan w:val="2"/>
            <w:vMerge w:val="restart"/>
            <w:shd w:val="clear" w:color="auto" w:fill="F2F2F2"/>
          </w:tcPr>
          <w:p>
            <w:pPr>
              <w:spacing w:after="0" w:line="297" w:lineRule="exact"/>
              <w:rPr>
                <w:sz w:val="20"/>
                <w:szCs w:val="20"/>
                <w:color w:val="auto"/>
              </w:rPr>
            </w:pPr>
            <w:r>
              <w:rPr>
                <w:rFonts w:ascii="Arial" w:cs="Arial" w:eastAsia="Arial" w:hAnsi="Arial"/>
                <w:sz w:val="16"/>
                <w:szCs w:val="16"/>
                <w:color w:val="auto"/>
              </w:rPr>
              <w:t>LLC</w:t>
            </w:r>
            <w:r>
              <w:rPr>
                <w:rFonts w:ascii="Arial" w:cs="Arial" w:eastAsia="Arial" w:hAnsi="Arial"/>
                <w:sz w:val="26"/>
                <w:szCs w:val="26"/>
                <w:color w:val="auto"/>
                <w:vertAlign w:val="superscript"/>
              </w:rPr>
              <w:t>(6)</w:t>
            </w:r>
          </w:p>
        </w:tc>
        <w:tc>
          <w:tcPr>
            <w:tcW w:w="140" w:type="dxa"/>
            <w:vAlign w:val="bottom"/>
            <w:vMerge w:val="continue"/>
            <w:shd w:val="clear" w:color="auto" w:fill="F2F2F2"/>
          </w:tcPr>
          <w:p>
            <w:pPr>
              <w:spacing w:after="0"/>
              <w:rPr>
                <w:sz w:val="3"/>
                <w:szCs w:val="3"/>
                <w:color w:val="auto"/>
              </w:rPr>
            </w:pPr>
          </w:p>
        </w:tc>
        <w:tc>
          <w:tcPr>
            <w:tcW w:w="240" w:type="dxa"/>
            <w:vAlign w:val="bottom"/>
            <w:vMerge w:val="continue"/>
            <w:shd w:val="clear" w:color="auto" w:fill="F2F2F2"/>
          </w:tcPr>
          <w:p>
            <w:pPr>
              <w:spacing w:after="0"/>
              <w:rPr>
                <w:sz w:val="3"/>
                <w:szCs w:val="3"/>
                <w:color w:val="auto"/>
              </w:rPr>
            </w:pPr>
          </w:p>
        </w:tc>
        <w:tc>
          <w:tcPr>
            <w:tcW w:w="1180" w:type="dxa"/>
            <w:vAlign w:val="bottom"/>
            <w:shd w:val="clear" w:color="auto" w:fill="F2F2F2"/>
          </w:tcPr>
          <w:p>
            <w:pPr>
              <w:spacing w:after="0"/>
              <w:rPr>
                <w:sz w:val="3"/>
                <w:szCs w:val="3"/>
                <w:color w:val="auto"/>
              </w:rPr>
            </w:pPr>
          </w:p>
        </w:tc>
        <w:tc>
          <w:tcPr>
            <w:tcW w:w="200" w:type="dxa"/>
            <w:vAlign w:val="bottom"/>
            <w:vMerge w:val="continue"/>
            <w:shd w:val="clear" w:color="auto" w:fill="F2F2F2"/>
          </w:tcPr>
          <w:p>
            <w:pPr>
              <w:spacing w:after="0"/>
              <w:rPr>
                <w:sz w:val="3"/>
                <w:szCs w:val="3"/>
                <w:color w:val="auto"/>
              </w:rPr>
            </w:pPr>
          </w:p>
        </w:tc>
        <w:tc>
          <w:tcPr>
            <w:tcW w:w="180" w:type="dxa"/>
            <w:vAlign w:val="bottom"/>
            <w:vMerge w:val="continue"/>
            <w:shd w:val="clear" w:color="auto" w:fill="F2F2F2"/>
          </w:tcPr>
          <w:p>
            <w:pPr>
              <w:spacing w:after="0"/>
              <w:rPr>
                <w:sz w:val="3"/>
                <w:szCs w:val="3"/>
                <w:color w:val="auto"/>
              </w:rPr>
            </w:pPr>
          </w:p>
        </w:tc>
        <w:tc>
          <w:tcPr>
            <w:tcW w:w="660" w:type="dxa"/>
            <w:vAlign w:val="bottom"/>
            <w:vMerge w:val="continue"/>
            <w:shd w:val="clear" w:color="auto" w:fill="F2F2F2"/>
          </w:tcPr>
          <w:p>
            <w:pPr>
              <w:spacing w:after="0"/>
              <w:rPr>
                <w:sz w:val="3"/>
                <w:szCs w:val="3"/>
                <w:color w:val="auto"/>
              </w:rPr>
            </w:pPr>
          </w:p>
        </w:tc>
        <w:tc>
          <w:tcPr>
            <w:tcW w:w="360" w:type="dxa"/>
            <w:vAlign w:val="bottom"/>
            <w:vMerge w:val="continue"/>
            <w:shd w:val="clear" w:color="auto" w:fill="F2F2F2"/>
          </w:tcPr>
          <w:p>
            <w:pPr>
              <w:spacing w:after="0"/>
              <w:rPr>
                <w:sz w:val="3"/>
                <w:szCs w:val="3"/>
                <w:color w:val="auto"/>
              </w:rPr>
            </w:pPr>
          </w:p>
        </w:tc>
        <w:tc>
          <w:tcPr>
            <w:tcW w:w="1060" w:type="dxa"/>
            <w:vAlign w:val="bottom"/>
            <w:shd w:val="clear" w:color="auto" w:fill="F2F2F2"/>
          </w:tcPr>
          <w:p>
            <w:pPr>
              <w:spacing w:after="0"/>
              <w:rPr>
                <w:sz w:val="3"/>
                <w:szCs w:val="3"/>
                <w:color w:val="auto"/>
              </w:rPr>
            </w:pPr>
          </w:p>
        </w:tc>
        <w:tc>
          <w:tcPr>
            <w:tcW w:w="160" w:type="dxa"/>
            <w:vAlign w:val="bottom"/>
            <w:vMerge w:val="continue"/>
            <w:shd w:val="clear" w:color="auto" w:fill="F2F2F2"/>
          </w:tcPr>
          <w:p>
            <w:pPr>
              <w:spacing w:after="0"/>
              <w:rPr>
                <w:sz w:val="3"/>
                <w:szCs w:val="3"/>
                <w:color w:val="auto"/>
              </w:rPr>
            </w:pPr>
          </w:p>
        </w:tc>
        <w:tc>
          <w:tcPr>
            <w:tcW w:w="220" w:type="dxa"/>
            <w:vAlign w:val="bottom"/>
            <w:vMerge w:val="continue"/>
            <w:shd w:val="clear" w:color="auto" w:fill="F2F2F2"/>
          </w:tcPr>
          <w:p>
            <w:pPr>
              <w:spacing w:after="0"/>
              <w:rPr>
                <w:sz w:val="3"/>
                <w:szCs w:val="3"/>
                <w:color w:val="auto"/>
              </w:rPr>
            </w:pPr>
          </w:p>
        </w:tc>
        <w:tc>
          <w:tcPr>
            <w:tcW w:w="520" w:type="dxa"/>
            <w:vAlign w:val="bottom"/>
            <w:vMerge w:val="continue"/>
            <w:shd w:val="clear" w:color="auto" w:fill="F2F2F2"/>
          </w:tcPr>
          <w:p>
            <w:pPr>
              <w:spacing w:after="0"/>
              <w:rPr>
                <w:sz w:val="3"/>
                <w:szCs w:val="3"/>
                <w:color w:val="auto"/>
              </w:rPr>
            </w:pPr>
          </w:p>
        </w:tc>
        <w:tc>
          <w:tcPr>
            <w:tcW w:w="140" w:type="dxa"/>
            <w:vAlign w:val="bottom"/>
            <w:vMerge w:val="continue"/>
            <w:shd w:val="clear" w:color="auto" w:fill="F2F2F2"/>
          </w:tcPr>
          <w:p>
            <w:pPr>
              <w:spacing w:after="0"/>
              <w:rPr>
                <w:sz w:val="3"/>
                <w:szCs w:val="3"/>
                <w:color w:val="auto"/>
              </w:rPr>
            </w:pPr>
          </w:p>
        </w:tc>
        <w:tc>
          <w:tcPr>
            <w:tcW w:w="1100" w:type="dxa"/>
            <w:vAlign w:val="bottom"/>
            <w:shd w:val="clear" w:color="auto" w:fill="F2F2F2"/>
          </w:tcPr>
          <w:p>
            <w:pPr>
              <w:spacing w:after="0"/>
              <w:rPr>
                <w:sz w:val="3"/>
                <w:szCs w:val="3"/>
                <w:color w:val="auto"/>
              </w:rPr>
            </w:pPr>
          </w:p>
        </w:tc>
        <w:tc>
          <w:tcPr>
            <w:tcW w:w="100" w:type="dxa"/>
            <w:vAlign w:val="bottom"/>
            <w:vMerge w:val="continue"/>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40" w:type="dxa"/>
            <w:vAlign w:val="bottom"/>
            <w:shd w:val="clear" w:color="auto" w:fill="F2F2F2"/>
          </w:tcPr>
          <w:p>
            <w:pPr>
              <w:spacing w:after="0"/>
              <w:rPr>
                <w:sz w:val="22"/>
                <w:szCs w:val="22"/>
                <w:color w:val="auto"/>
              </w:rPr>
            </w:pPr>
          </w:p>
        </w:tc>
        <w:tc>
          <w:tcPr>
            <w:tcW w:w="40" w:type="dxa"/>
            <w:vAlign w:val="bottom"/>
            <w:shd w:val="clear" w:color="auto" w:fill="F2F2F2"/>
          </w:tcPr>
          <w:p>
            <w:pPr>
              <w:spacing w:after="0"/>
              <w:rPr>
                <w:sz w:val="22"/>
                <w:szCs w:val="22"/>
                <w:color w:val="auto"/>
              </w:rPr>
            </w:pPr>
          </w:p>
        </w:tc>
        <w:tc>
          <w:tcPr>
            <w:tcW w:w="3220" w:type="dxa"/>
            <w:vAlign w:val="bottom"/>
            <w:gridSpan w:val="2"/>
            <w:vMerge w:val="continue"/>
            <w:shd w:val="clear" w:color="auto" w:fill="F2F2F2"/>
          </w:tcPr>
          <w:p>
            <w:pPr>
              <w:spacing w:after="0"/>
              <w:rPr>
                <w:sz w:val="22"/>
                <w:szCs w:val="22"/>
                <w:color w:val="auto"/>
              </w:rPr>
            </w:pPr>
          </w:p>
        </w:tc>
        <w:tc>
          <w:tcPr>
            <w:tcW w:w="14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1180" w:type="dxa"/>
            <w:vAlign w:val="bottom"/>
            <w:shd w:val="clear" w:color="auto" w:fill="F2F2F2"/>
          </w:tcPr>
          <w:p>
            <w:pPr>
              <w:jc w:val="center"/>
              <w:ind w:left="23"/>
              <w:spacing w:after="0"/>
              <w:rPr>
                <w:sz w:val="20"/>
                <w:szCs w:val="20"/>
                <w:color w:val="auto"/>
              </w:rPr>
            </w:pPr>
            <w:r>
              <w:rPr>
                <w:rFonts w:ascii="Arial" w:cs="Arial" w:eastAsia="Arial" w:hAnsi="Arial"/>
                <w:sz w:val="16"/>
                <w:szCs w:val="16"/>
                <w:color w:val="auto"/>
                <w:w w:val="99"/>
              </w:rPr>
              <w:t>16,211,780</w:t>
            </w:r>
          </w:p>
        </w:tc>
        <w:tc>
          <w:tcPr>
            <w:tcW w:w="200" w:type="dxa"/>
            <w:vAlign w:val="bottom"/>
            <w:shd w:val="clear" w:color="auto" w:fill="F2F2F2"/>
          </w:tcPr>
          <w:p>
            <w:pPr>
              <w:spacing w:after="0"/>
              <w:rPr>
                <w:sz w:val="22"/>
                <w:szCs w:val="22"/>
                <w:color w:val="auto"/>
              </w:rPr>
            </w:pPr>
          </w:p>
        </w:tc>
        <w:tc>
          <w:tcPr>
            <w:tcW w:w="180" w:type="dxa"/>
            <w:vAlign w:val="bottom"/>
            <w:shd w:val="clear" w:color="auto" w:fill="F2F2F2"/>
          </w:tcPr>
          <w:p>
            <w:pPr>
              <w:spacing w:after="0"/>
              <w:rPr>
                <w:sz w:val="22"/>
                <w:szCs w:val="22"/>
                <w:color w:val="auto"/>
              </w:rPr>
            </w:pPr>
          </w:p>
        </w:tc>
        <w:tc>
          <w:tcPr>
            <w:tcW w:w="6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 5.96</w:t>
            </w:r>
          </w:p>
        </w:tc>
        <w:tc>
          <w:tcPr>
            <w:tcW w:w="360" w:type="dxa"/>
            <w:vAlign w:val="bottom"/>
            <w:shd w:val="clear" w:color="auto" w:fill="F2F2F2"/>
          </w:tcPr>
          <w:p>
            <w:pPr>
              <w:spacing w:after="0"/>
              <w:rPr>
                <w:sz w:val="22"/>
                <w:szCs w:val="22"/>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spacing w:after="0"/>
              <w:rPr>
                <w:sz w:val="22"/>
                <w:szCs w:val="22"/>
                <w:color w:val="auto"/>
              </w:rPr>
            </w:pPr>
          </w:p>
        </w:tc>
        <w:tc>
          <w:tcPr>
            <w:tcW w:w="220" w:type="dxa"/>
            <w:vAlign w:val="bottom"/>
            <w:shd w:val="clear" w:color="auto" w:fill="F2F2F2"/>
          </w:tcPr>
          <w:p>
            <w:pPr>
              <w:spacing w:after="0"/>
              <w:rPr>
                <w:sz w:val="22"/>
                <w:szCs w:val="22"/>
                <w:color w:val="auto"/>
              </w:rPr>
            </w:pPr>
          </w:p>
        </w:tc>
        <w:tc>
          <w:tcPr>
            <w:tcW w:w="520" w:type="dxa"/>
            <w:vAlign w:val="bottom"/>
            <w:shd w:val="clear" w:color="auto" w:fill="F2F2F2"/>
          </w:tcPr>
          <w:p>
            <w:pPr>
              <w:jc w:val="center"/>
              <w:ind w:right="7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F2F2F2"/>
          </w:tcPr>
          <w:p>
            <w:pPr>
              <w:spacing w:after="0"/>
              <w:rPr>
                <w:sz w:val="22"/>
                <w:szCs w:val="22"/>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80" w:type="dxa"/>
            <w:vAlign w:val="bottom"/>
            <w:gridSpan w:val="2"/>
          </w:tcPr>
          <w:p>
            <w:pPr>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4"/>
                <w:szCs w:val="14"/>
                <w:color w:val="auto"/>
              </w:rPr>
            </w:pPr>
          </w:p>
        </w:tc>
        <w:tc>
          <w:tcPr>
            <w:tcW w:w="9280" w:type="dxa"/>
            <w:vAlign w:val="bottom"/>
            <w:gridSpan w:val="14"/>
            <w:vMerge w:val="restart"/>
          </w:tcPr>
          <w:p>
            <w:pPr>
              <w:ind w:left="60"/>
              <w:spacing w:after="0"/>
              <w:rPr>
                <w:sz w:val="20"/>
                <w:szCs w:val="20"/>
                <w:color w:val="auto"/>
              </w:rPr>
            </w:pPr>
            <w:r>
              <w:rPr>
                <w:rFonts w:ascii="Arial" w:cs="Arial" w:eastAsia="Arial" w:hAnsi="Arial"/>
                <w:sz w:val="14"/>
                <w:szCs w:val="14"/>
                <w:color w:val="auto"/>
              </w:rPr>
              <w:t>The Class B common stock is convertible at any time by the holder into shares of Class A common stock on a share-for-share basis, such that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80" w:type="dxa"/>
            <w:vAlign w:val="bottom"/>
            <w:gridSpan w:val="1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gridSpan w:val="9"/>
          </w:tcPr>
          <w:p>
            <w:pPr>
              <w:ind w:left="60"/>
              <w:spacing w:after="0"/>
              <w:rPr>
                <w:sz w:val="20"/>
                <w:szCs w:val="20"/>
                <w:color w:val="auto"/>
              </w:rPr>
            </w:pPr>
            <w:r>
              <w:rPr>
                <w:rFonts w:ascii="Arial" w:cs="Arial" w:eastAsia="Arial" w:hAnsi="Arial"/>
                <w:sz w:val="14"/>
                <w:szCs w:val="14"/>
                <w:color w:val="auto"/>
              </w:rPr>
              <w:t>each holder of Class B common stock beneficially owns an equivalent number of Class A 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gridSpan w:val="2"/>
          </w:tcPr>
          <w:p>
            <w:pP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Percentage total voting power represents voting power with respect to all shares of our Class A common stock and Class B common stock, as 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single class. Each holder of Class B common stock shall be entitled to ten votes per share of Class B common stock and each holder of Class 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common stock shall be entitled to one vote per share of Class A common stock on all matters submitted to our stockholders for a vote. The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gridSpan w:val="15"/>
          </w:tcPr>
          <w:p>
            <w:pPr>
              <w:ind w:left="60"/>
              <w:spacing w:after="0"/>
              <w:rPr>
                <w:sz w:val="20"/>
                <w:szCs w:val="20"/>
                <w:color w:val="auto"/>
              </w:rPr>
            </w:pPr>
            <w:r>
              <w:rPr>
                <w:rFonts w:ascii="Arial" w:cs="Arial" w:eastAsia="Arial" w:hAnsi="Arial"/>
                <w:sz w:val="14"/>
                <w:szCs w:val="14"/>
                <w:color w:val="auto"/>
              </w:rPr>
              <w:t>Class A common stock and Class B common stock vote together as a single class on all matters submitted to a vote of our stockholders, except as</w:t>
            </w:r>
          </w:p>
        </w:tc>
        <w:tc>
          <w:tcPr>
            <w:tcW w:w="0" w:type="dxa"/>
            <w:vAlign w:val="bottom"/>
          </w:tcPr>
          <w:p>
            <w:pPr>
              <w:spacing w:after="0"/>
              <w:rPr>
                <w:sz w:val="1"/>
                <w:szCs w:val="1"/>
                <w:color w:val="auto"/>
              </w:rPr>
            </w:pPr>
          </w:p>
        </w:tc>
      </w:tr>
      <w:tr>
        <w:trPr>
          <w:trHeight w:val="172"/>
        </w:trPr>
        <w:tc>
          <w:tcPr>
            <w:tcW w:w="40" w:type="dxa"/>
            <w:vAlign w:val="bottom"/>
            <w:vMerge w:val="restart"/>
          </w:tcPr>
          <w:p>
            <w:pPr>
              <w:spacing w:after="0"/>
              <w:rPr>
                <w:sz w:val="20"/>
                <w:szCs w:val="20"/>
                <w:color w:val="auto"/>
              </w:rPr>
            </w:pPr>
            <w:r>
              <w:rPr>
                <w:rFonts w:ascii="Arial" w:cs="Arial" w:eastAsia="Arial" w:hAnsi="Arial"/>
                <w:sz w:val="6"/>
                <w:szCs w:val="6"/>
                <w:color w:val="auto"/>
                <w:w w:val="83"/>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may otherwise be required by law.</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140" w:type="dxa"/>
            <w:vAlign w:val="bottom"/>
            <w:gridSpan w:val="9"/>
            <w:vMerge w:val="restart"/>
          </w:tcPr>
          <w:p>
            <w:pPr>
              <w:ind w:left="60"/>
              <w:spacing w:after="0"/>
              <w:rPr>
                <w:sz w:val="20"/>
                <w:szCs w:val="20"/>
                <w:color w:val="auto"/>
              </w:rPr>
            </w:pPr>
            <w:r>
              <w:rPr>
                <w:rFonts w:ascii="Arial" w:cs="Arial" w:eastAsia="Arial" w:hAnsi="Arial"/>
                <w:sz w:val="14"/>
                <w:szCs w:val="14"/>
                <w:color w:val="auto"/>
              </w:rPr>
              <w:t>Represents beneficial ownership of less than one percent (1%) of the outstanding shares of our common stock.</w:t>
            </w: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3"/>
          </w:tcPr>
          <w:p>
            <w:pPr>
              <w:spacing w:after="0" w:line="122" w:lineRule="exact"/>
              <w:rPr>
                <w:sz w:val="20"/>
                <w:szCs w:val="20"/>
                <w:color w:val="auto"/>
              </w:rPr>
            </w:pPr>
            <w:r>
              <w:rPr>
                <w:rFonts w:ascii="Arial" w:cs="Arial" w:eastAsia="Arial" w:hAnsi="Arial"/>
                <w:sz w:val="11"/>
                <w:szCs w:val="11"/>
                <w:color w:val="auto"/>
              </w:rPr>
              <w:t>(1)</w:t>
            </w:r>
          </w:p>
        </w:tc>
        <w:tc>
          <w:tcPr>
            <w:tcW w:w="714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gridSpan w:val="15"/>
          </w:tcPr>
          <w:p>
            <w:pPr>
              <w:ind w:left="60"/>
              <w:spacing w:after="0"/>
              <w:rPr>
                <w:sz w:val="20"/>
                <w:szCs w:val="20"/>
                <w:color w:val="auto"/>
              </w:rPr>
            </w:pPr>
            <w:r>
              <w:rPr>
                <w:rFonts w:ascii="Arial" w:cs="Arial" w:eastAsia="Arial" w:hAnsi="Arial"/>
                <w:sz w:val="14"/>
                <w:szCs w:val="14"/>
                <w:color w:val="auto"/>
              </w:rPr>
              <w:t>Consists of (i) 515,226 shares of Class A common stock held by Andrew W. Houston, (ii) 716,728 shares of Class A Common Stock and 7,743,764</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gridSpan w:val="15"/>
          </w:tcPr>
          <w:p>
            <w:pPr>
              <w:ind w:left="60"/>
              <w:spacing w:after="0"/>
              <w:rPr>
                <w:sz w:val="20"/>
                <w:szCs w:val="20"/>
                <w:color w:val="auto"/>
              </w:rPr>
            </w:pPr>
            <w:r>
              <w:rPr>
                <w:rFonts w:ascii="Arial" w:cs="Arial" w:eastAsia="Arial" w:hAnsi="Arial"/>
                <w:sz w:val="14"/>
                <w:szCs w:val="14"/>
                <w:color w:val="auto"/>
              </w:rPr>
              <w:t>shares of Class B Common Stock held by the Houston Remainder Trust u/a/ 12/30/2010, for which Mr. Houston serves as trustee, (iii) 72,100,573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shares of Class B Common Stock were held by Andrew Houston Revocable Trust u/a/d 9/7/2011, for which Mr. Houston serves as trustee,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(iv) 500,500 shares of Class B common stock held by the Houston 2012 Irrevocable Children’s Trust dated 4/12/2012, for which Mr. Houston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serves as trustee, (v) 8,266,666 shares of Class A common stock underlying RSAs subject to Mr. Houston’s Co-Founder Grant, and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gridSpan w:val="3"/>
            <w:vMerge w:val="restart"/>
          </w:tcPr>
          <w:p>
            <w:pPr>
              <w:spacing w:after="0"/>
              <w:rPr>
                <w:sz w:val="20"/>
                <w:szCs w:val="20"/>
                <w:color w:val="auto"/>
              </w:rPr>
            </w:pPr>
            <w:r>
              <w:rPr>
                <w:rFonts w:ascii="Arial" w:cs="Arial" w:eastAsia="Arial" w:hAnsi="Arial"/>
                <w:sz w:val="11"/>
                <w:szCs w:val="11"/>
                <w:color w:val="auto"/>
              </w:rPr>
              <w:t>(2)</w:t>
            </w: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(vi) 46,400 shares of Class A common stock subject to certain proxy agreements, in which Mr. Houston has voting power over the shares.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0" w:type="dxa"/>
            <w:vAlign w:val="bottom"/>
            <w:gridSpan w:val="3"/>
            <w:vMerge w:val="continue"/>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Consists of (i) 178,058 shares of Class A common stock held by the Paul E. Jacobs Trust dated November 7, 2014, for which Mr. Jacobs serves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gridSpan w:val="3"/>
            <w:vMerge w:val="restart"/>
          </w:tcPr>
          <w:p>
            <w:pPr>
              <w:spacing w:after="0"/>
              <w:rPr>
                <w:sz w:val="20"/>
                <w:szCs w:val="20"/>
                <w:color w:val="auto"/>
              </w:rPr>
            </w:pPr>
            <w:r>
              <w:rPr>
                <w:rFonts w:ascii="Arial" w:cs="Arial" w:eastAsia="Arial" w:hAnsi="Arial"/>
                <w:sz w:val="11"/>
                <w:szCs w:val="11"/>
                <w:color w:val="auto"/>
              </w:rPr>
              <w:t>(3)</w:t>
            </w:r>
          </w:p>
        </w:tc>
        <w:tc>
          <w:tcPr>
            <w:tcW w:w="5720" w:type="dxa"/>
            <w:vAlign w:val="bottom"/>
            <w:gridSpan w:val="7"/>
          </w:tcPr>
          <w:p>
            <w:pPr>
              <w:ind w:left="60"/>
              <w:spacing w:after="0"/>
              <w:rPr>
                <w:sz w:val="20"/>
                <w:szCs w:val="20"/>
                <w:color w:val="auto"/>
              </w:rPr>
            </w:pPr>
            <w:r>
              <w:rPr>
                <w:rFonts w:ascii="Arial" w:cs="Arial" w:eastAsia="Arial" w:hAnsi="Arial"/>
                <w:sz w:val="14"/>
                <w:szCs w:val="14"/>
                <w:color w:val="auto"/>
              </w:rPr>
              <w:t>as trustee, (ii) and 101,549 shares of Class A common stock held by Mr. Jacobs.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gridSpan w:val="3"/>
            <w:vMerge w:val="continue"/>
          </w:tcPr>
          <w:p>
            <w:pPr>
              <w:spacing w:after="0"/>
              <w:rPr>
                <w:sz w:val="12"/>
                <w:szCs w:val="12"/>
                <w:color w:val="auto"/>
              </w:rPr>
            </w:pPr>
          </w:p>
        </w:tc>
        <w:tc>
          <w:tcPr>
            <w:tcW w:w="9280" w:type="dxa"/>
            <w:vAlign w:val="bottom"/>
            <w:gridSpan w:val="14"/>
          </w:tcPr>
          <w:p>
            <w:pPr>
              <w:ind w:left="60"/>
              <w:spacing w:after="0" w:line="149" w:lineRule="exact"/>
              <w:rPr>
                <w:sz w:val="20"/>
                <w:szCs w:val="20"/>
                <w:color w:val="auto"/>
              </w:rPr>
            </w:pPr>
            <w:r>
              <w:rPr>
                <w:rFonts w:ascii="Arial" w:cs="Arial" w:eastAsia="Arial" w:hAnsi="Arial"/>
                <w:sz w:val="14"/>
                <w:szCs w:val="14"/>
                <w:color w:val="auto"/>
              </w:rPr>
              <w:t>Consists of shares of Class A common stock beneficially owned as of December 30, 2022 according to a Schedule 13G/A filed with the SEC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gridSpan w:val="15"/>
          </w:tcPr>
          <w:p>
            <w:pPr>
              <w:ind w:left="60"/>
              <w:spacing w:after="0"/>
              <w:rPr>
                <w:sz w:val="20"/>
                <w:szCs w:val="20"/>
                <w:color w:val="auto"/>
              </w:rPr>
            </w:pPr>
            <w:r>
              <w:rPr>
                <w:rFonts w:ascii="Arial" w:cs="Arial" w:eastAsia="Arial" w:hAnsi="Arial"/>
                <w:sz w:val="14"/>
                <w:szCs w:val="14"/>
                <w:color w:val="auto"/>
              </w:rPr>
              <w:t>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on February 9, 2023. Vanguard has beneficial ownership of 26,649,959 shares of Class A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The Schedule 13G/A reports that Vanguard has shared voting power with respect to 206,849 shares of Class A common stock, sole dispositive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power with respect to 29,234,005 shares of Class A common stock and shared dispositive power over 415,954 shares of Class A common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 w:type="dxa"/>
            <w:vAlign w:val="bottom"/>
            <w:gridSpan w:val="3"/>
          </w:tcPr>
          <w:p>
            <w:pPr>
              <w:spacing w:after="0"/>
              <w:rPr>
                <w:sz w:val="20"/>
                <w:szCs w:val="20"/>
                <w:color w:val="auto"/>
              </w:rPr>
            </w:pPr>
            <w:r>
              <w:rPr>
                <w:rFonts w:ascii="Arial" w:cs="Arial" w:eastAsia="Arial" w:hAnsi="Arial"/>
                <w:sz w:val="11"/>
                <w:szCs w:val="11"/>
                <w:color w:val="auto"/>
              </w:rPr>
              <w:t>(4)</w:t>
            </w:r>
          </w:p>
        </w:tc>
        <w:tc>
          <w:tcPr>
            <w:tcW w:w="4680" w:type="dxa"/>
            <w:vAlign w:val="bottom"/>
            <w:gridSpan w:val="4"/>
          </w:tcPr>
          <w:p>
            <w:pPr>
              <w:ind w:left="60"/>
              <w:spacing w:after="0"/>
              <w:rPr>
                <w:sz w:val="20"/>
                <w:szCs w:val="20"/>
                <w:color w:val="auto"/>
              </w:rPr>
            </w:pPr>
            <w:r>
              <w:rPr>
                <w:rFonts w:ascii="Arial" w:cs="Arial" w:eastAsia="Arial" w:hAnsi="Arial"/>
                <w:sz w:val="14"/>
                <w:szCs w:val="14"/>
                <w:color w:val="auto"/>
              </w:rPr>
              <w:t>The address for Vanguard is 100 Vanguard Blvd., Malvern, PA 19355.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80" w:type="dxa"/>
            <w:vAlign w:val="bottom"/>
            <w:gridSpan w:val="14"/>
          </w:tcPr>
          <w:p>
            <w:pPr>
              <w:ind w:left="60"/>
              <w:spacing w:after="0" w:line="146" w:lineRule="exact"/>
              <w:rPr>
                <w:sz w:val="20"/>
                <w:szCs w:val="20"/>
                <w:color w:val="auto"/>
              </w:rPr>
            </w:pPr>
            <w:r>
              <w:rPr>
                <w:rFonts w:ascii="Arial" w:cs="Arial" w:eastAsia="Arial" w:hAnsi="Arial"/>
                <w:sz w:val="14"/>
                <w:szCs w:val="14"/>
                <w:color w:val="auto"/>
              </w:rPr>
              <w:t>Consists of shares of Class A common stock beneficially owned as of December 31, 2022 according to a Schedule 13G filed with the SEC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on January 31, 2023. BlackRock has beneficial ownership of 19,920,526 shares of Class A common stock. The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gridSpan w:val="3"/>
            <w:vMerge w:val="restart"/>
          </w:tcPr>
          <w:p>
            <w:pPr>
              <w:spacing w:after="0"/>
              <w:rPr>
                <w:sz w:val="20"/>
                <w:szCs w:val="20"/>
                <w:color w:val="auto"/>
              </w:rPr>
            </w:pPr>
            <w:r>
              <w:rPr>
                <w:rFonts w:ascii="Arial" w:cs="Arial" w:eastAsia="Arial" w:hAnsi="Arial"/>
                <w:sz w:val="11"/>
                <w:szCs w:val="11"/>
                <w:color w:val="auto"/>
              </w:rPr>
              <w:t>(5)</w:t>
            </w:r>
          </w:p>
        </w:tc>
        <w:tc>
          <w:tcPr>
            <w:tcW w:w="4880" w:type="dxa"/>
            <w:vAlign w:val="bottom"/>
            <w:gridSpan w:val="5"/>
          </w:tcPr>
          <w:p>
            <w:pPr>
              <w:ind w:left="60"/>
              <w:spacing w:after="0"/>
              <w:rPr>
                <w:sz w:val="20"/>
                <w:szCs w:val="20"/>
                <w:color w:val="auto"/>
              </w:rPr>
            </w:pPr>
            <w:r>
              <w:rPr>
                <w:rFonts w:ascii="Arial" w:cs="Arial" w:eastAsia="Arial" w:hAnsi="Arial"/>
                <w:sz w:val="14"/>
                <w:szCs w:val="14"/>
                <w:color w:val="auto"/>
              </w:rPr>
              <w:t>address for BlackRock is 55 East 52nd Street, New York, New York 10055.</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gridSpan w:val="3"/>
            <w:vMerge w:val="continue"/>
          </w:tcPr>
          <w:p>
            <w:pPr>
              <w:spacing w:after="0"/>
              <w:rPr>
                <w:sz w:val="12"/>
                <w:szCs w:val="12"/>
                <w:color w:val="auto"/>
              </w:rPr>
            </w:pPr>
          </w:p>
        </w:tc>
        <w:tc>
          <w:tcPr>
            <w:tcW w:w="9280" w:type="dxa"/>
            <w:vAlign w:val="bottom"/>
            <w:gridSpan w:val="14"/>
          </w:tcPr>
          <w:p>
            <w:pPr>
              <w:ind w:left="60"/>
              <w:spacing w:after="0" w:line="149" w:lineRule="exact"/>
              <w:rPr>
                <w:sz w:val="20"/>
                <w:szCs w:val="20"/>
                <w:color w:val="auto"/>
              </w:rPr>
            </w:pPr>
            <w:r>
              <w:rPr>
                <w:rFonts w:ascii="Arial" w:cs="Arial" w:eastAsia="Arial" w:hAnsi="Arial"/>
                <w:sz w:val="14"/>
                <w:szCs w:val="14"/>
                <w:color w:val="auto"/>
              </w:rPr>
              <w:t>Consists of shares of Class A common stock beneficially owned as of December 31, 2022 according to a Schedule 13G filed with the SEC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Ameriprise Financial, Inc. (“</w:t>
            </w:r>
            <w:r>
              <w:rPr>
                <w:rFonts w:ascii="Arial" w:cs="Arial" w:eastAsia="Arial" w:hAnsi="Arial"/>
                <w:sz w:val="14"/>
                <w:szCs w:val="14"/>
                <w:b w:val="1"/>
                <w:bCs w:val="1"/>
                <w:i w:val="1"/>
                <w:iCs w:val="1"/>
                <w:color w:val="auto"/>
              </w:rPr>
              <w:t>Ameriprise</w:t>
            </w:r>
            <w:r>
              <w:rPr>
                <w:rFonts w:ascii="Arial" w:cs="Arial" w:eastAsia="Arial" w:hAnsi="Arial"/>
                <w:sz w:val="14"/>
                <w:szCs w:val="14"/>
                <w:color w:val="auto"/>
              </w:rPr>
              <w:t>”) on February 14, 2023. Ameriprise has beneficial ownership of 16,814,632 shares of Class A common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gridSpan w:val="3"/>
            <w:vMerge w:val="restart"/>
          </w:tcPr>
          <w:p>
            <w:pPr>
              <w:spacing w:after="0"/>
              <w:rPr>
                <w:sz w:val="20"/>
                <w:szCs w:val="20"/>
                <w:color w:val="auto"/>
              </w:rPr>
            </w:pPr>
            <w:r>
              <w:rPr>
                <w:rFonts w:ascii="Arial" w:cs="Arial" w:eastAsia="Arial" w:hAnsi="Arial"/>
                <w:sz w:val="11"/>
                <w:szCs w:val="11"/>
                <w:color w:val="auto"/>
              </w:rPr>
              <w:t>(6)</w:t>
            </w:r>
          </w:p>
        </w:tc>
        <w:tc>
          <w:tcPr>
            <w:tcW w:w="6080" w:type="dxa"/>
            <w:vAlign w:val="bottom"/>
            <w:gridSpan w:val="8"/>
          </w:tcPr>
          <w:p>
            <w:pPr>
              <w:ind w:left="60"/>
              <w:spacing w:after="0"/>
              <w:rPr>
                <w:sz w:val="20"/>
                <w:szCs w:val="20"/>
                <w:color w:val="auto"/>
              </w:rPr>
            </w:pPr>
            <w:r>
              <w:rPr>
                <w:rFonts w:ascii="Arial" w:cs="Arial" w:eastAsia="Arial" w:hAnsi="Arial"/>
                <w:sz w:val="14"/>
                <w:szCs w:val="14"/>
                <w:color w:val="auto"/>
              </w:rPr>
              <w:t>stock. The address for Ameriprise is 145 Ameriprise Financial Center, Minneapolis, MN 55474.</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0" w:type="dxa"/>
            <w:vAlign w:val="bottom"/>
            <w:gridSpan w:val="3"/>
            <w:vMerge w:val="continue"/>
          </w:tcPr>
          <w:p>
            <w:pPr>
              <w:spacing w:after="0"/>
              <w:rPr>
                <w:sz w:val="14"/>
                <w:szCs w:val="14"/>
                <w:color w:val="auto"/>
              </w:rPr>
            </w:pPr>
          </w:p>
        </w:tc>
        <w:tc>
          <w:tcPr>
            <w:tcW w:w="9280" w:type="dxa"/>
            <w:vAlign w:val="bottom"/>
            <w:gridSpan w:val="14"/>
          </w:tcPr>
          <w:p>
            <w:pPr>
              <w:ind w:left="60"/>
              <w:spacing w:after="0"/>
              <w:rPr>
                <w:sz w:val="20"/>
                <w:szCs w:val="20"/>
                <w:color w:val="auto"/>
              </w:rPr>
            </w:pPr>
            <w:r>
              <w:rPr>
                <w:rFonts w:ascii="Arial" w:cs="Arial" w:eastAsia="Arial" w:hAnsi="Arial"/>
                <w:sz w:val="14"/>
                <w:szCs w:val="14"/>
                <w:color w:val="auto"/>
              </w:rPr>
              <w:t>Consists of shares of Class A common stock beneficially owned as of December 31, 2022 according to a Schedule 13G filed with the SEC by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40"/>
        <w:spacing w:after="0" w:line="258" w:lineRule="auto"/>
        <w:rPr>
          <w:sz w:val="20"/>
          <w:szCs w:val="20"/>
          <w:color w:val="auto"/>
        </w:rPr>
      </w:pPr>
      <w:r>
        <w:rPr>
          <w:rFonts w:ascii="Arial" w:cs="Arial" w:eastAsia="Arial" w:hAnsi="Arial"/>
          <w:sz w:val="14"/>
          <w:szCs w:val="14"/>
          <w:color w:val="auto"/>
        </w:rPr>
        <w:t>Columbia Management Investment Advisers, LLC (“</w:t>
      </w:r>
      <w:r>
        <w:rPr>
          <w:rFonts w:ascii="Arial" w:cs="Arial" w:eastAsia="Arial" w:hAnsi="Arial"/>
          <w:sz w:val="14"/>
          <w:szCs w:val="14"/>
          <w:b w:val="1"/>
          <w:bCs w:val="1"/>
          <w:i w:val="1"/>
          <w:iCs w:val="1"/>
          <w:color w:val="auto"/>
        </w:rPr>
        <w:t>Columbia</w:t>
      </w:r>
      <w:r>
        <w:rPr>
          <w:rFonts w:ascii="Arial" w:cs="Arial" w:eastAsia="Arial" w:hAnsi="Arial"/>
          <w:sz w:val="14"/>
          <w:szCs w:val="14"/>
          <w:color w:val="auto"/>
        </w:rPr>
        <w:t>”) on February 14, 2023. Columbia has beneficial ownership of 16,211,780 shares of Class A common stock. The address for 290 Congress Street, Boston, MA 02210.</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66" w:name="page67"/>
    <w:bookmarkEnd w:id="66"/>
    <w:p>
      <w:pPr>
        <w:ind w:left="4"/>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4" w:right="740"/>
        <w:spacing w:after="0" w:line="260" w:lineRule="auto"/>
        <w:rPr>
          <w:sz w:val="20"/>
          <w:szCs w:val="20"/>
          <w:color w:val="auto"/>
        </w:rPr>
      </w:pPr>
      <w:r>
        <w:rPr>
          <w:rFonts w:ascii="Arial" w:cs="Arial" w:eastAsia="Arial" w:hAnsi="Arial"/>
          <w:sz w:val="32"/>
          <w:szCs w:val="32"/>
          <w:color w:val="0063A6"/>
        </w:rPr>
        <w:t>CERTAIN RELATIONSHIPS, RELATED PARTY AND OTHER TRANSACTIONS</w:t>
      </w:r>
    </w:p>
    <w:p>
      <w:pPr>
        <w:spacing w:after="0" w:line="119"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49" w:lineRule="exact"/>
        <w:rPr>
          <w:sz w:val="20"/>
          <w:szCs w:val="20"/>
          <w:color w:val="auto"/>
        </w:rPr>
      </w:pPr>
    </w:p>
    <w:p>
      <w:pPr>
        <w:ind w:left="4"/>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169"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54" w:lineRule="exact"/>
        <w:rPr>
          <w:sz w:val="20"/>
          <w:szCs w:val="20"/>
          <w:color w:val="auto"/>
        </w:rPr>
      </w:pPr>
    </w:p>
    <w:p>
      <w:pPr>
        <w:ind w:left="4"/>
        <w:spacing w:after="0" w:line="246"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w:t>
      </w:r>
    </w:p>
    <w:p>
      <w:pPr>
        <w:spacing w:after="0" w:line="5" w:lineRule="exact"/>
        <w:rPr>
          <w:sz w:val="20"/>
          <w:szCs w:val="20"/>
          <w:color w:val="auto"/>
        </w:rPr>
      </w:pPr>
    </w:p>
    <w:p>
      <w:pPr>
        <w:ind w:left="4" w:right="60" w:hanging="4"/>
        <w:spacing w:after="0" w:line="260" w:lineRule="auto"/>
        <w:tabs>
          <w:tab w:leader="none" w:pos="238"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18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 xml:space="preserve">Proxy Statement and Notice of 2023 Annual Meeting of Stockholders       </w:t>
      </w:r>
      <w:r>
        <w:rPr>
          <w:rFonts w:ascii="Arial" w:cs="Arial" w:eastAsia="Arial" w:hAnsi="Arial"/>
          <w:sz w:val="14"/>
          <w:szCs w:val="14"/>
          <w:b w:val="1"/>
          <w:bCs w:val="1"/>
          <w:color w:val="auto"/>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OTHER MATTERS</w:t>
      </w:r>
    </w:p>
    <w:p>
      <w:pPr>
        <w:spacing w:after="0" w:line="351" w:lineRule="exact"/>
        <w:rPr>
          <w:sz w:val="20"/>
          <w:szCs w:val="20"/>
          <w:color w:val="auto"/>
        </w:rPr>
      </w:pPr>
    </w:p>
    <w:p>
      <w:pPr>
        <w:spacing w:after="0"/>
        <w:rPr>
          <w:sz w:val="20"/>
          <w:szCs w:val="20"/>
          <w:color w:val="auto"/>
        </w:rPr>
      </w:pPr>
      <w:r>
        <w:rPr>
          <w:rFonts w:ascii="Arial" w:cs="Arial" w:eastAsia="Arial" w:hAnsi="Arial"/>
          <w:sz w:val="26"/>
          <w:szCs w:val="26"/>
          <w:color w:val="0063A6"/>
        </w:rPr>
        <w:t>Delinquent Section 16(a) Reports</w:t>
      </w:r>
    </w:p>
    <w:p>
      <w:pPr>
        <w:spacing w:after="0" w:line="169"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2022, all executive officers, directors and greater than 10% stockholders complied with all applicable SEC filing requirements.</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Fiscal Year 2022 Annual Report and SEC Filings</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financial statements for our fiscal year ended December 31, 2022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47"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4, 2023</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64         </w:t>
      </w:r>
      <w:r>
        <w:rPr>
          <w:rFonts w:ascii="Arial" w:cs="Arial" w:eastAsia="Arial" w:hAnsi="Arial"/>
          <w:sz w:val="14"/>
          <w:szCs w:val="14"/>
          <w:b w:val="1"/>
          <w:bCs w:val="1"/>
          <w:color w:val="0063A6"/>
        </w:rPr>
        <w:t>Dropbox, Inc.</w:t>
      </w:r>
      <w:r>
        <w:rPr>
          <w:rFonts w:ascii="Arial" w:cs="Arial" w:eastAsia="Arial" w:hAnsi="Arial"/>
          <w:sz w:val="14"/>
          <w:szCs w:val="14"/>
          <w:b w:val="1"/>
          <w:bCs w:val="1"/>
          <w:color w:val="auto"/>
        </w:rPr>
        <w:t xml:space="preserve"> </w:t>
      </w:r>
      <w:r>
        <w:rPr>
          <w:rFonts w:ascii="Arial" w:cs="Arial" w:eastAsia="Arial" w:hAnsi="Arial"/>
          <w:sz w:val="14"/>
          <w:szCs w:val="14"/>
          <w:color w:val="0063A6"/>
        </w:rPr>
        <w:t>Proxy Statement and 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0"/>
          </w:cols>
          <w:pgMar w:left="1160" w:top="265" w:right="1199" w:bottom="1440" w:gutter="0" w:footer="0" w:header="0"/>
        </w:sectPr>
      </w:pPr>
    </w:p>
    <w:bookmarkStart w:id="68" w:name="page69"/>
    <w:bookmarkEnd w:id="68"/>
    <w:p>
      <w:pPr>
        <w:ind w:left="7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63A6"/>
        </w:rPr>
        <w:t>APPENDIX A</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169"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impairment charges related to real estate assets and costs related to workforce reduction. Free cash flow differs from GAAP net cash provided by operating activities in that it treats capital expenditures as a reduction to net cash provided by operating activities.</w:t>
      </w:r>
    </w:p>
    <w:p>
      <w:pPr>
        <w:spacing w:after="0" w:line="154" w:lineRule="exact"/>
        <w:rPr>
          <w:sz w:val="20"/>
          <w:szCs w:val="20"/>
          <w:color w:val="auto"/>
        </w:rPr>
      </w:pPr>
    </w:p>
    <w:p>
      <w:pPr>
        <w:ind w:left="720" w:right="860"/>
        <w:spacing w:after="0" w:line="253"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2022 performance in relation to the principal elements of Dropbox’s annual executive compensation program considered by the talent and compensation committee,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of this proxy statement.</w:t>
      </w:r>
    </w:p>
    <w:p>
      <w:pPr>
        <w:spacing w:after="0" w:line="147" w:lineRule="exact"/>
        <w:rPr>
          <w:sz w:val="20"/>
          <w:szCs w:val="20"/>
          <w:color w:val="auto"/>
        </w:rPr>
      </w:pPr>
    </w:p>
    <w:p>
      <w:pPr>
        <w:ind w:left="720" w:right="820"/>
        <w:spacing w:after="0" w:line="248"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54" w:lineRule="exact"/>
        <w:rPr>
          <w:sz w:val="20"/>
          <w:szCs w:val="20"/>
          <w:color w:val="auto"/>
        </w:rPr>
      </w:pPr>
    </w:p>
    <w:p>
      <w:pPr>
        <w:ind w:left="720" w:right="1060"/>
        <w:spacing w:after="0" w:line="253"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66040</wp:posOffset>
            </wp:positionV>
            <wp:extent cx="6077585" cy="2846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7585" cy="2846070"/>
                    </a:xfrm>
                    <a:prstGeom prst="rect">
                      <a:avLst/>
                    </a:prstGeom>
                    <a:noFill/>
                  </pic:spPr>
                </pic:pic>
              </a:graphicData>
            </a:graphic>
          </wp:anchor>
        </w:drawing>
      </w:r>
    </w:p>
    <w:p>
      <w:pPr>
        <w:spacing w:after="0" w:line="84" w:lineRule="exact"/>
        <w:rPr>
          <w:sz w:val="20"/>
          <w:szCs w:val="20"/>
          <w:color w:val="auto"/>
        </w:rPr>
      </w:pPr>
    </w:p>
    <w:tbl>
      <w:tblPr>
        <w:tblLayout w:type="fixed"/>
        <w:tblInd w:w="720" w:type="dxa"/>
        <w:tblCellMar>
          <w:top w:w="0" w:type="dxa"/>
          <w:left w:w="0" w:type="dxa"/>
          <w:bottom w:w="0" w:type="dxa"/>
          <w:right w:w="0" w:type="dxa"/>
        </w:tblCellMar>
      </w:tblPr>
      <w:tr>
        <w:trPr>
          <w:trHeight w:val="285"/>
        </w:trPr>
        <w:tc>
          <w:tcPr>
            <w:tcW w:w="328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3360" w:type="dxa"/>
            <w:vAlign w:val="bottom"/>
            <w:shd w:val="clear" w:color="auto" w:fill="0063A6"/>
          </w:tcPr>
          <w:p>
            <w:pPr>
              <w:ind w:left="3260"/>
              <w:spacing w:after="0"/>
              <w:rPr>
                <w:sz w:val="20"/>
                <w:szCs w:val="20"/>
                <w:color w:val="auto"/>
              </w:rPr>
            </w:pPr>
            <w:r>
              <w:rPr>
                <w:rFonts w:ascii="Arial" w:cs="Arial" w:eastAsia="Arial" w:hAnsi="Arial"/>
                <w:sz w:val="4"/>
                <w:szCs w:val="4"/>
                <w:color w:val="auto"/>
              </w:rPr>
              <w:t>​</w:t>
            </w:r>
          </w:p>
        </w:tc>
        <w:tc>
          <w:tcPr>
            <w:tcW w:w="180" w:type="dxa"/>
            <w:vAlign w:val="bottom"/>
            <w:shd w:val="clear" w:color="auto" w:fill="0063A6"/>
          </w:tcPr>
          <w:p>
            <w:pPr>
              <w:ind w:left="60"/>
              <w:spacing w:after="0"/>
              <w:rPr>
                <w:sz w:val="20"/>
                <w:szCs w:val="20"/>
                <w:color w:val="auto"/>
              </w:rPr>
            </w:pPr>
            <w:r>
              <w:rPr>
                <w:rFonts w:ascii="Arial" w:cs="Arial" w:eastAsia="Arial" w:hAnsi="Arial"/>
                <w:sz w:val="4"/>
                <w:szCs w:val="4"/>
                <w:color w:val="auto"/>
              </w:rPr>
              <w:t>​</w:t>
            </w:r>
          </w:p>
        </w:tc>
        <w:tc>
          <w:tcPr>
            <w:tcW w:w="2740" w:type="dxa"/>
            <w:vAlign w:val="bottom"/>
            <w:gridSpan w:val="4"/>
            <w:shd w:val="clear" w:color="auto" w:fill="0063A6"/>
          </w:tcPr>
          <w:p>
            <w:pPr>
              <w:jc w:val="right"/>
              <w:ind w:right="82"/>
              <w:spacing w:after="0"/>
              <w:rPr>
                <w:sz w:val="20"/>
                <w:szCs w:val="20"/>
                <w:color w:val="auto"/>
              </w:rPr>
            </w:pPr>
            <w:r>
              <w:rPr>
                <w:rFonts w:ascii="Arial" w:cs="Arial" w:eastAsia="Arial" w:hAnsi="Arial"/>
                <w:sz w:val="14"/>
                <w:szCs w:val="14"/>
                <w:b w:val="1"/>
                <w:bCs w:val="1"/>
                <w:color w:val="FFFFFF"/>
              </w:rPr>
              <w:t xml:space="preserve">Twelve Months Ended December 31, </w:t>
            </w:r>
            <w:r>
              <w:rPr>
                <w:rFonts w:ascii="Arial" w:cs="Arial" w:eastAsia="Arial" w:hAnsi="Arial"/>
                <w:sz w:val="3"/>
                <w:szCs w:val="3"/>
                <w:color w:val="000000"/>
              </w:rPr>
              <w:t>​</w:t>
            </w:r>
          </w:p>
        </w:tc>
      </w:tr>
      <w:tr>
        <w:trPr>
          <w:trHeight w:val="80"/>
        </w:trPr>
        <w:tc>
          <w:tcPr>
            <w:tcW w:w="3280" w:type="dxa"/>
            <w:vAlign w:val="bottom"/>
            <w:shd w:val="clear" w:color="auto" w:fill="0063A6"/>
          </w:tcPr>
          <w:p>
            <w:pPr>
              <w:spacing w:after="0"/>
              <w:rPr>
                <w:sz w:val="6"/>
                <w:szCs w:val="6"/>
                <w:color w:val="auto"/>
              </w:rPr>
            </w:pPr>
          </w:p>
        </w:tc>
        <w:tc>
          <w:tcPr>
            <w:tcW w:w="3360" w:type="dxa"/>
            <w:vAlign w:val="bottom"/>
            <w:shd w:val="clear" w:color="auto" w:fill="0063A6"/>
          </w:tcPr>
          <w:p>
            <w:pPr>
              <w:spacing w:after="0"/>
              <w:rPr>
                <w:sz w:val="6"/>
                <w:szCs w:val="6"/>
                <w:color w:val="auto"/>
              </w:rPr>
            </w:pPr>
          </w:p>
        </w:tc>
        <w:tc>
          <w:tcPr>
            <w:tcW w:w="180" w:type="dxa"/>
            <w:vAlign w:val="bottom"/>
            <w:shd w:val="clear" w:color="auto" w:fill="0063A6"/>
          </w:tcPr>
          <w:p>
            <w:pPr>
              <w:spacing w:after="0"/>
              <w:rPr>
                <w:sz w:val="6"/>
                <w:szCs w:val="6"/>
                <w:color w:val="auto"/>
              </w:rPr>
            </w:pPr>
          </w:p>
        </w:tc>
        <w:tc>
          <w:tcPr>
            <w:tcW w:w="960" w:type="dxa"/>
            <w:vAlign w:val="bottom"/>
            <w:shd w:val="clear" w:color="auto" w:fill="0063A6"/>
          </w:tcPr>
          <w:p>
            <w:pPr>
              <w:spacing w:after="0"/>
              <w:rPr>
                <w:sz w:val="6"/>
                <w:szCs w:val="6"/>
                <w:color w:val="auto"/>
              </w:rPr>
            </w:pPr>
          </w:p>
        </w:tc>
        <w:tc>
          <w:tcPr>
            <w:tcW w:w="660" w:type="dxa"/>
            <w:vAlign w:val="bottom"/>
            <w:shd w:val="clear" w:color="auto" w:fill="0063A6"/>
          </w:tcPr>
          <w:p>
            <w:pPr>
              <w:spacing w:after="0"/>
              <w:rPr>
                <w:sz w:val="6"/>
                <w:szCs w:val="6"/>
                <w:color w:val="auto"/>
              </w:rPr>
            </w:pPr>
          </w:p>
        </w:tc>
        <w:tc>
          <w:tcPr>
            <w:tcW w:w="800" w:type="dxa"/>
            <w:vAlign w:val="bottom"/>
            <w:shd w:val="clear" w:color="auto" w:fill="0063A6"/>
          </w:tcPr>
          <w:p>
            <w:pPr>
              <w:spacing w:after="0"/>
              <w:rPr>
                <w:sz w:val="6"/>
                <w:szCs w:val="6"/>
                <w:color w:val="auto"/>
              </w:rPr>
            </w:pPr>
          </w:p>
        </w:tc>
        <w:tc>
          <w:tcPr>
            <w:tcW w:w="320" w:type="dxa"/>
            <w:vAlign w:val="bottom"/>
            <w:shd w:val="clear" w:color="auto" w:fill="0063A6"/>
          </w:tcPr>
          <w:p>
            <w:pPr>
              <w:spacing w:after="0"/>
              <w:rPr>
                <w:sz w:val="6"/>
                <w:szCs w:val="6"/>
                <w:color w:val="auto"/>
              </w:rPr>
            </w:pPr>
          </w:p>
        </w:tc>
      </w:tr>
      <w:tr>
        <w:trPr>
          <w:trHeight w:val="185"/>
        </w:trPr>
        <w:tc>
          <w:tcPr>
            <w:tcW w:w="3280" w:type="dxa"/>
            <w:vAlign w:val="bottom"/>
            <w:shd w:val="clear" w:color="auto" w:fill="E5EFFD"/>
          </w:tcPr>
          <w:p>
            <w:pPr>
              <w:spacing w:after="0"/>
              <w:rPr>
                <w:sz w:val="20"/>
                <w:szCs w:val="20"/>
                <w:color w:val="auto"/>
              </w:rPr>
            </w:pPr>
            <w:r>
              <w:rPr>
                <w:rFonts w:ascii="Arial" w:cs="Arial" w:eastAsia="Arial" w:hAnsi="Arial"/>
                <w:sz w:val="4"/>
                <w:szCs w:val="4"/>
                <w:color w:val="auto"/>
              </w:rPr>
              <w:t>​</w:t>
            </w:r>
          </w:p>
        </w:tc>
        <w:tc>
          <w:tcPr>
            <w:tcW w:w="3360" w:type="dxa"/>
            <w:vAlign w:val="bottom"/>
            <w:shd w:val="clear" w:color="auto" w:fill="E5EFFD"/>
          </w:tcPr>
          <w:p>
            <w:pPr>
              <w:ind w:left="3260"/>
              <w:spacing w:after="0"/>
              <w:rPr>
                <w:sz w:val="20"/>
                <w:szCs w:val="20"/>
                <w:color w:val="auto"/>
              </w:rPr>
            </w:pPr>
            <w:r>
              <w:rPr>
                <w:rFonts w:ascii="Arial" w:cs="Arial" w:eastAsia="Arial" w:hAnsi="Arial"/>
                <w:sz w:val="4"/>
                <w:szCs w:val="4"/>
                <w:color w:val="auto"/>
              </w:rPr>
              <w:t>​</w:t>
            </w:r>
          </w:p>
        </w:tc>
        <w:tc>
          <w:tcPr>
            <w:tcW w:w="180" w:type="dxa"/>
            <w:vAlign w:val="bottom"/>
            <w:shd w:val="clear" w:color="auto" w:fill="E5EFFD"/>
          </w:tcPr>
          <w:p>
            <w:pPr>
              <w:ind w:left="60"/>
              <w:spacing w:after="0"/>
              <w:rPr>
                <w:sz w:val="20"/>
                <w:szCs w:val="20"/>
                <w:color w:val="auto"/>
              </w:rPr>
            </w:pPr>
            <w:r>
              <w:rPr>
                <w:rFonts w:ascii="Arial" w:cs="Arial" w:eastAsia="Arial" w:hAnsi="Arial"/>
                <w:sz w:val="4"/>
                <w:szCs w:val="4"/>
                <w:color w:val="auto"/>
              </w:rPr>
              <w:t>​</w:t>
            </w:r>
          </w:p>
        </w:tc>
        <w:tc>
          <w:tcPr>
            <w:tcW w:w="960" w:type="dxa"/>
            <w:vAlign w:val="bottom"/>
            <w:shd w:val="clear" w:color="auto" w:fill="E5EFFD"/>
          </w:tcPr>
          <w:p>
            <w:pPr>
              <w:jc w:val="right"/>
              <w:ind w:right="128"/>
              <w:spacing w:after="0"/>
              <w:rPr>
                <w:sz w:val="20"/>
                <w:szCs w:val="20"/>
                <w:color w:val="auto"/>
              </w:rPr>
            </w:pPr>
            <w:r>
              <w:rPr>
                <w:rFonts w:ascii="Arial" w:cs="Arial" w:eastAsia="Arial" w:hAnsi="Arial"/>
                <w:sz w:val="14"/>
                <w:szCs w:val="14"/>
                <w:b w:val="1"/>
                <w:bCs w:val="1"/>
                <w:color w:val="0063A6"/>
              </w:rPr>
              <w:t>2022</w:t>
            </w:r>
          </w:p>
        </w:tc>
        <w:tc>
          <w:tcPr>
            <w:tcW w:w="660" w:type="dxa"/>
            <w:vAlign w:val="bottom"/>
            <w:shd w:val="clear" w:color="auto" w:fill="E5EFFD"/>
          </w:tcPr>
          <w:p>
            <w:pPr>
              <w:ind w:left="22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800" w:type="dxa"/>
            <w:vAlign w:val="bottom"/>
            <w:shd w:val="clear" w:color="auto" w:fill="E5EFFD"/>
          </w:tcPr>
          <w:p>
            <w:pPr>
              <w:jc w:val="right"/>
              <w:ind w:right="148"/>
              <w:spacing w:after="0"/>
              <w:rPr>
                <w:sz w:val="20"/>
                <w:szCs w:val="20"/>
                <w:color w:val="auto"/>
              </w:rPr>
            </w:pPr>
            <w:r>
              <w:rPr>
                <w:rFonts w:ascii="Arial" w:cs="Arial" w:eastAsia="Arial" w:hAnsi="Arial"/>
                <w:sz w:val="14"/>
                <w:szCs w:val="14"/>
                <w:b w:val="1"/>
                <w:bCs w:val="1"/>
                <w:color w:val="0063A6"/>
              </w:rPr>
              <w:t>2021</w:t>
            </w:r>
          </w:p>
        </w:tc>
        <w:tc>
          <w:tcPr>
            <w:tcW w:w="320" w:type="dxa"/>
            <w:vAlign w:val="bottom"/>
            <w:shd w:val="clear" w:color="auto" w:fill="E5EFFD"/>
          </w:tcPr>
          <w:p>
            <w:pPr>
              <w:jc w:val="right"/>
              <w:ind w:right="82"/>
              <w:spacing w:after="0"/>
              <w:rPr>
                <w:sz w:val="20"/>
                <w:szCs w:val="20"/>
                <w:color w:val="auto"/>
              </w:rPr>
            </w:pPr>
            <w:r>
              <w:rPr>
                <w:rFonts w:ascii="Arial" w:cs="Arial" w:eastAsia="Arial" w:hAnsi="Arial"/>
                <w:sz w:val="4"/>
                <w:szCs w:val="4"/>
                <w:color w:val="auto"/>
              </w:rPr>
              <w:t>​</w:t>
            </w:r>
          </w:p>
        </w:tc>
      </w:tr>
      <w:tr>
        <w:trPr>
          <w:trHeight w:val="165"/>
        </w:trPr>
        <w:tc>
          <w:tcPr>
            <w:tcW w:w="3280" w:type="dxa"/>
            <w:vAlign w:val="bottom"/>
            <w:shd w:val="clear" w:color="auto" w:fill="E5EFFD"/>
          </w:tcPr>
          <w:p>
            <w:pPr>
              <w:spacing w:after="0"/>
              <w:rPr>
                <w:sz w:val="14"/>
                <w:szCs w:val="14"/>
                <w:color w:val="auto"/>
              </w:rPr>
            </w:pPr>
          </w:p>
        </w:tc>
        <w:tc>
          <w:tcPr>
            <w:tcW w:w="3360" w:type="dxa"/>
            <w:vAlign w:val="bottom"/>
            <w:shd w:val="clear" w:color="auto" w:fill="E5EFFD"/>
          </w:tcPr>
          <w:p>
            <w:pPr>
              <w:spacing w:after="0"/>
              <w:rPr>
                <w:sz w:val="14"/>
                <w:szCs w:val="14"/>
                <w:color w:val="auto"/>
              </w:rPr>
            </w:pPr>
          </w:p>
        </w:tc>
        <w:tc>
          <w:tcPr>
            <w:tcW w:w="180" w:type="dxa"/>
            <w:vAlign w:val="bottom"/>
            <w:shd w:val="clear" w:color="auto" w:fill="E5EFFD"/>
          </w:tcPr>
          <w:p>
            <w:pPr>
              <w:spacing w:after="0"/>
              <w:rPr>
                <w:sz w:val="14"/>
                <w:szCs w:val="14"/>
                <w:color w:val="auto"/>
              </w:rPr>
            </w:pPr>
          </w:p>
        </w:tc>
        <w:tc>
          <w:tcPr>
            <w:tcW w:w="960" w:type="dxa"/>
            <w:vAlign w:val="bottom"/>
            <w:shd w:val="clear" w:color="auto" w:fill="E5EFFD"/>
          </w:tcPr>
          <w:p>
            <w:pPr>
              <w:spacing w:after="0"/>
              <w:rPr>
                <w:sz w:val="14"/>
                <w:szCs w:val="14"/>
                <w:color w:val="auto"/>
              </w:rPr>
            </w:pPr>
          </w:p>
        </w:tc>
        <w:tc>
          <w:tcPr>
            <w:tcW w:w="660" w:type="dxa"/>
            <w:vAlign w:val="bottom"/>
            <w:shd w:val="clear" w:color="auto" w:fill="E5EFFD"/>
          </w:tcPr>
          <w:p>
            <w:pPr>
              <w:spacing w:after="0"/>
              <w:rPr>
                <w:sz w:val="14"/>
                <w:szCs w:val="14"/>
                <w:color w:val="auto"/>
              </w:rPr>
            </w:pPr>
          </w:p>
        </w:tc>
        <w:tc>
          <w:tcPr>
            <w:tcW w:w="800" w:type="dxa"/>
            <w:vAlign w:val="bottom"/>
            <w:shd w:val="clear" w:color="auto" w:fill="E5EFFD"/>
          </w:tcPr>
          <w:p>
            <w:pPr>
              <w:spacing w:after="0"/>
              <w:rPr>
                <w:sz w:val="14"/>
                <w:szCs w:val="14"/>
                <w:color w:val="auto"/>
              </w:rPr>
            </w:pPr>
          </w:p>
        </w:tc>
        <w:tc>
          <w:tcPr>
            <w:tcW w:w="320" w:type="dxa"/>
            <w:vAlign w:val="bottom"/>
            <w:shd w:val="clear" w:color="auto" w:fill="E5EFFD"/>
          </w:tcPr>
          <w:p>
            <w:pPr>
              <w:spacing w:after="0"/>
              <w:rPr>
                <w:sz w:val="14"/>
                <w:szCs w:val="1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20" w:type="dxa"/>
            <w:vAlign w:val="bottom"/>
          </w:tcPr>
          <w:p>
            <w:pPr>
              <w:spacing w:after="0"/>
              <w:rPr>
                <w:sz w:val="23"/>
                <w:szCs w:val="23"/>
                <w:color w:val="auto"/>
              </w:rPr>
            </w:pPr>
          </w:p>
        </w:tc>
        <w:tc>
          <w:tcPr>
            <w:tcW w:w="494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GAAP income (loss) from operations</w:t>
            </w:r>
          </w:p>
        </w:tc>
        <w:tc>
          <w:tcPr>
            <w:tcW w:w="1700" w:type="dxa"/>
            <w:vAlign w:val="bottom"/>
            <w:shd w:val="clear" w:color="auto" w:fill="F2F2F2"/>
          </w:tcPr>
          <w:p>
            <w:pPr>
              <w:ind w:left="160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$ 181.3</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20"/>
              <w:spacing w:after="0"/>
              <w:rPr>
                <w:sz w:val="20"/>
                <w:szCs w:val="20"/>
                <w:color w:val="auto"/>
              </w:rPr>
            </w:pPr>
            <w:r>
              <w:rPr>
                <w:rFonts w:ascii="Arial" w:cs="Arial" w:eastAsia="Arial" w:hAnsi="Arial"/>
                <w:sz w:val="16"/>
                <w:szCs w:val="16"/>
                <w:color w:val="auto"/>
              </w:rPr>
              <w:t>$ 274.4</w:t>
            </w:r>
          </w:p>
        </w:tc>
        <w:tc>
          <w:tcPr>
            <w:tcW w:w="320" w:type="dxa"/>
            <w:vAlign w:val="bottom"/>
            <w:shd w:val="clear" w:color="auto" w:fill="F2F2F2"/>
          </w:tcPr>
          <w:p>
            <w:pPr>
              <w:jc w:val="center"/>
              <w:ind w:left="77"/>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3"/>
                <w:szCs w:val="23"/>
                <w:color w:val="auto"/>
              </w:rPr>
            </w:pPr>
          </w:p>
        </w:tc>
      </w:tr>
      <w:tr>
        <w:trPr>
          <w:trHeight w:val="87"/>
        </w:trPr>
        <w:tc>
          <w:tcPr>
            <w:tcW w:w="720" w:type="dxa"/>
            <w:vAlign w:val="bottom"/>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476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9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199"/>
        </w:trPr>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4760" w:type="dxa"/>
            <w:vAlign w:val="bottom"/>
          </w:tcPr>
          <w:p>
            <w:pPr>
              <w:ind w:left="160"/>
              <w:spacing w:after="0"/>
              <w:rPr>
                <w:sz w:val="20"/>
                <w:szCs w:val="20"/>
                <w:color w:val="auto"/>
              </w:rPr>
            </w:pPr>
            <w:r>
              <w:rPr>
                <w:rFonts w:ascii="Arial" w:cs="Arial" w:eastAsia="Arial" w:hAnsi="Arial"/>
                <w:sz w:val="16"/>
                <w:szCs w:val="16"/>
                <w:i w:val="1"/>
                <w:iCs w:val="1"/>
                <w:color w:val="auto"/>
              </w:rPr>
              <w:t>GAAP operating margin</w:t>
            </w:r>
          </w:p>
        </w:tc>
        <w:tc>
          <w:tcPr>
            <w:tcW w:w="1700" w:type="dxa"/>
            <w:vAlign w:val="bottom"/>
          </w:tcPr>
          <w:p>
            <w:pPr>
              <w:ind w:left="160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060" w:type="dxa"/>
            <w:vAlign w:val="bottom"/>
            <w:gridSpan w:val="2"/>
          </w:tcPr>
          <w:p>
            <w:pPr>
              <w:jc w:val="center"/>
              <w:ind w:right="640"/>
              <w:spacing w:after="0"/>
              <w:rPr>
                <w:sz w:val="20"/>
                <w:szCs w:val="20"/>
                <w:color w:val="auto"/>
              </w:rPr>
            </w:pPr>
            <w:r>
              <w:rPr>
                <w:rFonts w:ascii="Arial" w:cs="Arial" w:eastAsia="Arial" w:hAnsi="Arial"/>
                <w:sz w:val="4"/>
                <w:szCs w:val="4"/>
                <w:color w:val="auto"/>
              </w:rPr>
              <w:t>​</w:t>
            </w:r>
          </w:p>
        </w:tc>
      </w:tr>
      <w:tr>
        <w:trPr>
          <w:trHeight w:val="179"/>
        </w:trPr>
        <w:tc>
          <w:tcPr>
            <w:tcW w:w="720" w:type="dxa"/>
            <w:vAlign w:val="bottom"/>
          </w:tcPr>
          <w:p>
            <w:pPr>
              <w:spacing w:after="0"/>
              <w:rPr>
                <w:sz w:val="15"/>
                <w:szCs w:val="15"/>
                <w:color w:val="auto"/>
              </w:rPr>
            </w:pPr>
          </w:p>
        </w:tc>
        <w:tc>
          <w:tcPr>
            <w:tcW w:w="4940" w:type="dxa"/>
            <w:vAlign w:val="bottom"/>
            <w:gridSpan w:val="2"/>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291"/>
        </w:trPr>
        <w:tc>
          <w:tcPr>
            <w:tcW w:w="720" w:type="dxa"/>
            <w:vAlign w:val="bottom"/>
          </w:tcPr>
          <w:p>
            <w:pPr>
              <w:spacing w:after="0"/>
              <w:rPr>
                <w:sz w:val="24"/>
                <w:szCs w:val="24"/>
                <w:color w:val="auto"/>
              </w:rPr>
            </w:pPr>
          </w:p>
        </w:tc>
        <w:tc>
          <w:tcPr>
            <w:tcW w:w="494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Plus:</w:t>
            </w:r>
          </w:p>
        </w:tc>
        <w:tc>
          <w:tcPr>
            <w:tcW w:w="1700" w:type="dxa"/>
            <w:vAlign w:val="bottom"/>
            <w:shd w:val="clear" w:color="auto" w:fill="F2F2F2"/>
          </w:tcPr>
          <w:p>
            <w:pPr>
              <w:ind w:left="160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00" w:type="dxa"/>
            <w:vAlign w:val="bottom"/>
            <w:shd w:val="clear" w:color="auto" w:fill="F2F2F2"/>
          </w:tcPr>
          <w:p>
            <w:pPr>
              <w:spacing w:after="0"/>
              <w:rPr>
                <w:sz w:val="24"/>
                <w:szCs w:val="24"/>
                <w:color w:val="auto"/>
              </w:rPr>
            </w:pP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spacing w:after="0"/>
              <w:rPr>
                <w:sz w:val="24"/>
                <w:szCs w:val="24"/>
                <w:color w:val="auto"/>
              </w:rPr>
            </w:pPr>
          </w:p>
        </w:tc>
        <w:tc>
          <w:tcPr>
            <w:tcW w:w="320" w:type="dxa"/>
            <w:vAlign w:val="bottom"/>
            <w:shd w:val="clear" w:color="auto" w:fill="F2F2F2"/>
          </w:tcPr>
          <w:p>
            <w:pPr>
              <w:jc w:val="center"/>
              <w:ind w:left="77"/>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87"/>
        </w:trPr>
        <w:tc>
          <w:tcPr>
            <w:tcW w:w="720" w:type="dxa"/>
            <w:vAlign w:val="bottom"/>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476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9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199"/>
        </w:trPr>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47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1700" w:type="dxa"/>
            <w:vAlign w:val="bottom"/>
          </w:tcPr>
          <w:p>
            <w:pPr>
              <w:ind w:left="160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330.7</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287.1</w:t>
            </w:r>
          </w:p>
        </w:tc>
        <w:tc>
          <w:tcPr>
            <w:tcW w:w="1060" w:type="dxa"/>
            <w:vAlign w:val="bottom"/>
            <w:gridSpan w:val="2"/>
          </w:tcPr>
          <w:p>
            <w:pPr>
              <w:jc w:val="center"/>
              <w:ind w:right="640"/>
              <w:spacing w:after="0"/>
              <w:rPr>
                <w:sz w:val="20"/>
                <w:szCs w:val="20"/>
                <w:color w:val="auto"/>
              </w:rPr>
            </w:pPr>
            <w:r>
              <w:rPr>
                <w:rFonts w:ascii="Arial" w:cs="Arial" w:eastAsia="Arial" w:hAnsi="Arial"/>
                <w:sz w:val="4"/>
                <w:szCs w:val="4"/>
                <w:color w:val="auto"/>
              </w:rPr>
              <w:t>​</w:t>
            </w:r>
          </w:p>
        </w:tc>
      </w:tr>
      <w:tr>
        <w:trPr>
          <w:trHeight w:val="179"/>
        </w:trPr>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720" w:type="dxa"/>
            <w:vAlign w:val="bottom"/>
          </w:tcPr>
          <w:p>
            <w:pPr>
              <w:spacing w:after="0"/>
              <w:rPr>
                <w:sz w:val="17"/>
                <w:szCs w:val="17"/>
                <w:color w:val="auto"/>
              </w:rPr>
            </w:pPr>
          </w:p>
        </w:tc>
        <w:tc>
          <w:tcPr>
            <w:tcW w:w="18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76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Acquisition-related and other expenses</w:t>
            </w:r>
          </w:p>
        </w:tc>
        <w:tc>
          <w:tcPr>
            <w:tcW w:w="1700" w:type="dxa"/>
            <w:vAlign w:val="bottom"/>
            <w:shd w:val="clear" w:color="auto" w:fill="F2F2F2"/>
          </w:tcPr>
          <w:p>
            <w:pPr>
              <w:ind w:left="160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18.0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20"/>
              <w:spacing w:after="0"/>
              <w:rPr>
                <w:sz w:val="20"/>
                <w:szCs w:val="20"/>
                <w:color w:val="auto"/>
              </w:rPr>
            </w:pPr>
            <w:r>
              <w:rPr>
                <w:rFonts w:ascii="Arial" w:cs="Arial" w:eastAsia="Arial" w:hAnsi="Arial"/>
                <w:sz w:val="16"/>
                <w:szCs w:val="16"/>
                <w:color w:val="auto"/>
              </w:rPr>
              <w:t>26.8</w:t>
            </w:r>
          </w:p>
        </w:tc>
        <w:tc>
          <w:tcPr>
            <w:tcW w:w="320" w:type="dxa"/>
            <w:vAlign w:val="bottom"/>
            <w:shd w:val="clear" w:color="auto" w:fill="F2F2F2"/>
          </w:tcPr>
          <w:p>
            <w:pPr>
              <w:jc w:val="center"/>
              <w:ind w:left="77"/>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17"/>
                <w:szCs w:val="17"/>
                <w:color w:val="auto"/>
              </w:rPr>
            </w:pPr>
          </w:p>
        </w:tc>
      </w:tr>
      <w:tr>
        <w:trPr>
          <w:trHeight w:val="179"/>
        </w:trPr>
        <w:tc>
          <w:tcPr>
            <w:tcW w:w="72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4760" w:type="dxa"/>
            <w:vAlign w:val="bottom"/>
            <w:shd w:val="clear" w:color="auto" w:fill="F2F2F2"/>
          </w:tcPr>
          <w:p>
            <w:pPr>
              <w:spacing w:after="0"/>
              <w:rPr>
                <w:sz w:val="15"/>
                <w:szCs w:val="15"/>
                <w:color w:val="auto"/>
              </w:rPr>
            </w:pPr>
          </w:p>
        </w:tc>
        <w:tc>
          <w:tcPr>
            <w:tcW w:w="170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86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4760" w:type="dxa"/>
            <w:vAlign w:val="bottom"/>
          </w:tcPr>
          <w:p>
            <w:pPr>
              <w:ind w:left="160"/>
              <w:spacing w:after="0"/>
              <w:rPr>
                <w:sz w:val="20"/>
                <w:szCs w:val="20"/>
                <w:color w:val="auto"/>
              </w:rPr>
            </w:pPr>
            <w:r>
              <w:rPr>
                <w:rFonts w:ascii="Arial" w:cs="Arial" w:eastAsia="Arial" w:hAnsi="Arial"/>
                <w:sz w:val="16"/>
                <w:szCs w:val="16"/>
                <w:color w:val="auto"/>
              </w:rPr>
              <w:t>Amortization of acquired intangible assets</w:t>
            </w:r>
          </w:p>
        </w:tc>
        <w:tc>
          <w:tcPr>
            <w:tcW w:w="1700" w:type="dxa"/>
            <w:vAlign w:val="bottom"/>
          </w:tcPr>
          <w:p>
            <w:pPr>
              <w:ind w:left="160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60" w:type="dxa"/>
            <w:vAlign w:val="bottom"/>
            <w:gridSpan w:val="2"/>
          </w:tcPr>
          <w:p>
            <w:pPr>
              <w:jc w:val="center"/>
              <w:ind w:right="640"/>
              <w:spacing w:after="0"/>
              <w:rPr>
                <w:sz w:val="20"/>
                <w:szCs w:val="20"/>
                <w:color w:val="auto"/>
              </w:rPr>
            </w:pPr>
            <w:r>
              <w:rPr>
                <w:rFonts w:ascii="Arial" w:cs="Arial" w:eastAsia="Arial" w:hAnsi="Arial"/>
                <w:sz w:val="4"/>
                <w:szCs w:val="4"/>
                <w:color w:val="auto"/>
              </w:rPr>
              <w:t>​</w:t>
            </w:r>
          </w:p>
        </w:tc>
      </w:tr>
      <w:tr>
        <w:trPr>
          <w:trHeight w:val="179"/>
        </w:trPr>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720" w:type="dxa"/>
            <w:vAlign w:val="bottom"/>
          </w:tcPr>
          <w:p>
            <w:pPr>
              <w:spacing w:after="0"/>
              <w:rPr>
                <w:sz w:val="17"/>
                <w:szCs w:val="17"/>
                <w:color w:val="auto"/>
              </w:rPr>
            </w:pPr>
          </w:p>
        </w:tc>
        <w:tc>
          <w:tcPr>
            <w:tcW w:w="18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760" w:type="dxa"/>
            <w:vAlign w:val="bottom"/>
            <w:shd w:val="clear" w:color="auto" w:fill="F2F2F2"/>
          </w:tcPr>
          <w:p>
            <w:pPr>
              <w:ind w:left="160"/>
              <w:spacing w:after="0"/>
              <w:rPr>
                <w:sz w:val="20"/>
                <w:szCs w:val="20"/>
                <w:color w:val="auto"/>
              </w:rPr>
            </w:pPr>
            <w:r>
              <w:rPr>
                <w:rFonts w:ascii="Arial" w:cs="Arial" w:eastAsia="Arial" w:hAnsi="Arial"/>
                <w:sz w:val="16"/>
                <w:szCs w:val="16"/>
                <w:color w:val="auto"/>
              </w:rPr>
              <w:t>Impairment related to real estate assets</w:t>
            </w:r>
          </w:p>
        </w:tc>
        <w:tc>
          <w:tcPr>
            <w:tcW w:w="1700" w:type="dxa"/>
            <w:vAlign w:val="bottom"/>
            <w:shd w:val="clear" w:color="auto" w:fill="F2F2F2"/>
          </w:tcPr>
          <w:p>
            <w:pPr>
              <w:ind w:left="160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0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175.2</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20"/>
              <w:spacing w:after="0"/>
              <w:rPr>
                <w:sz w:val="20"/>
                <w:szCs w:val="20"/>
                <w:color w:val="auto"/>
              </w:rPr>
            </w:pPr>
            <w:r>
              <w:rPr>
                <w:rFonts w:ascii="Arial" w:cs="Arial" w:eastAsia="Arial" w:hAnsi="Arial"/>
                <w:sz w:val="16"/>
                <w:szCs w:val="16"/>
                <w:color w:val="auto"/>
              </w:rPr>
              <w:t>31.3</w:t>
            </w:r>
          </w:p>
        </w:tc>
        <w:tc>
          <w:tcPr>
            <w:tcW w:w="320" w:type="dxa"/>
            <w:vAlign w:val="bottom"/>
            <w:shd w:val="clear" w:color="auto" w:fill="F2F2F2"/>
          </w:tcPr>
          <w:p>
            <w:pPr>
              <w:jc w:val="center"/>
              <w:ind w:left="77"/>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17"/>
                <w:szCs w:val="17"/>
                <w:color w:val="auto"/>
              </w:rPr>
            </w:pPr>
          </w:p>
        </w:tc>
      </w:tr>
      <w:tr>
        <w:trPr>
          <w:trHeight w:val="179"/>
        </w:trPr>
        <w:tc>
          <w:tcPr>
            <w:tcW w:w="72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4760" w:type="dxa"/>
            <w:vAlign w:val="bottom"/>
            <w:shd w:val="clear" w:color="auto" w:fill="F2F2F2"/>
          </w:tcPr>
          <w:p>
            <w:pPr>
              <w:spacing w:after="0"/>
              <w:rPr>
                <w:sz w:val="15"/>
                <w:szCs w:val="15"/>
                <w:color w:val="auto"/>
              </w:rPr>
            </w:pPr>
          </w:p>
        </w:tc>
        <w:tc>
          <w:tcPr>
            <w:tcW w:w="170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86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4760" w:type="dxa"/>
            <w:vAlign w:val="bottom"/>
          </w:tcPr>
          <w:p>
            <w:pPr>
              <w:ind w:left="160"/>
              <w:spacing w:after="0"/>
              <w:rPr>
                <w:sz w:val="20"/>
                <w:szCs w:val="20"/>
                <w:color w:val="auto"/>
              </w:rPr>
            </w:pPr>
            <w:r>
              <w:rPr>
                <w:rFonts w:ascii="Arial" w:cs="Arial" w:eastAsia="Arial" w:hAnsi="Arial"/>
                <w:sz w:val="16"/>
                <w:szCs w:val="16"/>
                <w:color w:val="auto"/>
              </w:rPr>
              <w:t>Workforce reduction expenses</w:t>
            </w:r>
          </w:p>
        </w:tc>
        <w:tc>
          <w:tcPr>
            <w:tcW w:w="1700" w:type="dxa"/>
            <w:vAlign w:val="bottom"/>
          </w:tcPr>
          <w:p>
            <w:pPr>
              <w:ind w:left="160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060" w:type="dxa"/>
            <w:vAlign w:val="bottom"/>
            <w:gridSpan w:val="2"/>
          </w:tcPr>
          <w:p>
            <w:pPr>
              <w:jc w:val="center"/>
              <w:ind w:right="640"/>
              <w:spacing w:after="0"/>
              <w:rPr>
                <w:sz w:val="20"/>
                <w:szCs w:val="20"/>
                <w:color w:val="auto"/>
              </w:rPr>
            </w:pPr>
            <w:r>
              <w:rPr>
                <w:rFonts w:ascii="Arial" w:cs="Arial" w:eastAsia="Arial" w:hAnsi="Arial"/>
                <w:sz w:val="4"/>
                <w:szCs w:val="4"/>
                <w:color w:val="auto"/>
              </w:rPr>
              <w:t>​</w:t>
            </w:r>
          </w:p>
        </w:tc>
      </w:tr>
      <w:tr>
        <w:trPr>
          <w:trHeight w:val="179"/>
        </w:trPr>
        <w:tc>
          <w:tcPr>
            <w:tcW w:w="720" w:type="dxa"/>
            <w:vAlign w:val="bottom"/>
          </w:tcPr>
          <w:p>
            <w:pPr>
              <w:spacing w:after="0"/>
              <w:rPr>
                <w:sz w:val="15"/>
                <w:szCs w:val="15"/>
                <w:color w:val="auto"/>
              </w:rPr>
            </w:pPr>
          </w:p>
        </w:tc>
        <w:tc>
          <w:tcPr>
            <w:tcW w:w="4940" w:type="dxa"/>
            <w:vAlign w:val="bottom"/>
            <w:gridSpan w:val="2"/>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291"/>
        </w:trPr>
        <w:tc>
          <w:tcPr>
            <w:tcW w:w="720" w:type="dxa"/>
            <w:vAlign w:val="bottom"/>
          </w:tcPr>
          <w:p>
            <w:pPr>
              <w:spacing w:after="0"/>
              <w:rPr>
                <w:sz w:val="24"/>
                <w:szCs w:val="24"/>
                <w:color w:val="auto"/>
              </w:rPr>
            </w:pPr>
          </w:p>
        </w:tc>
        <w:tc>
          <w:tcPr>
            <w:tcW w:w="4940" w:type="dxa"/>
            <w:vAlign w:val="bottom"/>
            <w:gridSpan w:val="2"/>
            <w:shd w:val="clear" w:color="auto" w:fill="F2F2F2"/>
          </w:tcPr>
          <w:p>
            <w:pPr>
              <w:spacing w:after="0"/>
              <w:rPr>
                <w:sz w:val="20"/>
                <w:szCs w:val="20"/>
                <w:color w:val="auto"/>
              </w:rPr>
            </w:pPr>
            <w:r>
              <w:rPr>
                <w:rFonts w:ascii="Arial" w:cs="Arial" w:eastAsia="Arial" w:hAnsi="Arial"/>
                <w:sz w:val="4"/>
                <w:szCs w:val="4"/>
                <w:color w:val="auto"/>
              </w:rPr>
              <w:t>​</w:t>
            </w:r>
            <w:r>
              <w:rPr>
                <w:rFonts w:ascii="Arial" w:cs="Arial" w:eastAsia="Arial" w:hAnsi="Arial"/>
                <w:sz w:val="16"/>
                <w:szCs w:val="16"/>
                <w:color w:val="auto"/>
              </w:rPr>
              <w:t>Non-GAAP income (loss) from operations</w:t>
            </w:r>
          </w:p>
        </w:tc>
        <w:tc>
          <w:tcPr>
            <w:tcW w:w="1700" w:type="dxa"/>
            <w:vAlign w:val="bottom"/>
            <w:shd w:val="clear" w:color="auto" w:fill="F2F2F2"/>
          </w:tcPr>
          <w:p>
            <w:pPr>
              <w:ind w:left="160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60"/>
              <w:spacing w:after="0"/>
              <w:rPr>
                <w:sz w:val="20"/>
                <w:szCs w:val="20"/>
                <w:color w:val="auto"/>
              </w:rPr>
            </w:pPr>
            <w:r>
              <w:rPr>
                <w:rFonts w:ascii="Arial" w:cs="Arial" w:eastAsia="Arial" w:hAnsi="Arial"/>
                <w:sz w:val="4"/>
                <w:szCs w:val="4"/>
                <w:color w:val="auto"/>
              </w:rPr>
              <w:t>​</w:t>
            </w:r>
          </w:p>
        </w:tc>
        <w:tc>
          <w:tcPr>
            <w:tcW w:w="90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719.0</w:t>
            </w:r>
          </w:p>
        </w:tc>
        <w:tc>
          <w:tcPr>
            <w:tcW w:w="240" w:type="dxa"/>
            <w:vAlign w:val="bottom"/>
            <w:shd w:val="clear" w:color="auto" w:fill="F2F2F2"/>
          </w:tcPr>
          <w:p>
            <w:pPr>
              <w:ind w:left="160"/>
              <w:spacing w:after="0"/>
              <w:rPr>
                <w:sz w:val="20"/>
                <w:szCs w:val="20"/>
                <w:color w:val="auto"/>
              </w:rPr>
            </w:pPr>
            <w:r>
              <w:rPr>
                <w:rFonts w:ascii="Arial" w:cs="Arial" w:eastAsia="Arial" w:hAnsi="Arial"/>
                <w:sz w:val="4"/>
                <w:szCs w:val="4"/>
                <w:color w:val="auto"/>
              </w:rPr>
              <w:t>​</w:t>
            </w:r>
          </w:p>
        </w:tc>
        <w:tc>
          <w:tcPr>
            <w:tcW w:w="30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20"/>
              <w:spacing w:after="0"/>
              <w:rPr>
                <w:sz w:val="20"/>
                <w:szCs w:val="20"/>
                <w:color w:val="auto"/>
              </w:rPr>
            </w:pPr>
            <w:r>
              <w:rPr>
                <w:rFonts w:ascii="Arial" w:cs="Arial" w:eastAsia="Arial" w:hAnsi="Arial"/>
                <w:sz w:val="16"/>
                <w:szCs w:val="16"/>
                <w:color w:val="auto"/>
              </w:rPr>
              <w:t>647.0</w:t>
            </w:r>
          </w:p>
        </w:tc>
        <w:tc>
          <w:tcPr>
            <w:tcW w:w="320" w:type="dxa"/>
            <w:vAlign w:val="bottom"/>
            <w:shd w:val="clear" w:color="auto" w:fill="F2F2F2"/>
          </w:tcPr>
          <w:p>
            <w:pPr>
              <w:jc w:val="center"/>
              <w:ind w:left="77"/>
              <w:spacing w:after="0"/>
              <w:rPr>
                <w:sz w:val="20"/>
                <w:szCs w:val="20"/>
                <w:color w:val="auto"/>
              </w:rPr>
            </w:pPr>
            <w:r>
              <w:rPr>
                <w:rFonts w:ascii="Arial" w:cs="Arial" w:eastAsia="Arial" w:hAnsi="Arial"/>
                <w:sz w:val="4"/>
                <w:szCs w:val="4"/>
                <w:color w:val="auto"/>
              </w:rPr>
              <w:t>​</w:t>
            </w:r>
          </w:p>
        </w:tc>
        <w:tc>
          <w:tcPr>
            <w:tcW w:w="740" w:type="dxa"/>
            <w:vAlign w:val="bottom"/>
          </w:tcPr>
          <w:p>
            <w:pPr>
              <w:spacing w:after="0"/>
              <w:rPr>
                <w:sz w:val="24"/>
                <w:szCs w:val="24"/>
                <w:color w:val="auto"/>
              </w:rPr>
            </w:pPr>
          </w:p>
        </w:tc>
      </w:tr>
      <w:tr>
        <w:trPr>
          <w:trHeight w:val="87"/>
        </w:trPr>
        <w:tc>
          <w:tcPr>
            <w:tcW w:w="720" w:type="dxa"/>
            <w:vAlign w:val="bottom"/>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476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9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740" w:type="dxa"/>
            <w:vAlign w:val="bottom"/>
          </w:tcPr>
          <w:p>
            <w:pPr>
              <w:spacing w:after="0"/>
              <w:rPr>
                <w:sz w:val="7"/>
                <w:szCs w:val="7"/>
                <w:color w:val="auto"/>
              </w:rPr>
            </w:pPr>
          </w:p>
        </w:tc>
      </w:tr>
      <w:tr>
        <w:trPr>
          <w:trHeight w:val="199"/>
        </w:trPr>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4"/>
                <w:szCs w:val="4"/>
                <w:color w:val="auto"/>
              </w:rPr>
              <w:t>​</w:t>
            </w:r>
          </w:p>
        </w:tc>
        <w:tc>
          <w:tcPr>
            <w:tcW w:w="4760" w:type="dxa"/>
            <w:vAlign w:val="bottom"/>
          </w:tcPr>
          <w:p>
            <w:pPr>
              <w:ind w:left="160"/>
              <w:spacing w:after="0"/>
              <w:rPr>
                <w:sz w:val="20"/>
                <w:szCs w:val="20"/>
                <w:color w:val="auto"/>
              </w:rPr>
            </w:pPr>
            <w:r>
              <w:rPr>
                <w:rFonts w:ascii="Arial" w:cs="Arial" w:eastAsia="Arial" w:hAnsi="Arial"/>
                <w:sz w:val="16"/>
                <w:szCs w:val="16"/>
                <w:i w:val="1"/>
                <w:iCs w:val="1"/>
                <w:color w:val="auto"/>
              </w:rPr>
              <w:t>Non-GAAP operating margin</w:t>
            </w:r>
          </w:p>
        </w:tc>
        <w:tc>
          <w:tcPr>
            <w:tcW w:w="1700" w:type="dxa"/>
            <w:vAlign w:val="bottom"/>
          </w:tcPr>
          <w:p>
            <w:pPr>
              <w:ind w:left="1600"/>
              <w:spacing w:after="0"/>
              <w:rPr>
                <w:sz w:val="20"/>
                <w:szCs w:val="20"/>
                <w:color w:val="auto"/>
              </w:rPr>
            </w:pPr>
            <w:r>
              <w:rPr>
                <w:rFonts w:ascii="Arial" w:cs="Arial" w:eastAsia="Arial" w:hAnsi="Arial"/>
                <w:sz w:val="4"/>
                <w:szCs w:val="4"/>
                <w:color w:val="auto"/>
              </w:rPr>
              <w:t>​</w:t>
            </w:r>
          </w:p>
        </w:tc>
        <w:tc>
          <w:tcPr>
            <w:tcW w:w="300" w:type="dxa"/>
            <w:vAlign w:val="bottom"/>
          </w:tcPr>
          <w:p>
            <w:pPr>
              <w:ind w:left="60"/>
              <w:spacing w:after="0"/>
              <w:rPr>
                <w:sz w:val="20"/>
                <w:szCs w:val="20"/>
                <w:color w:val="auto"/>
              </w:rPr>
            </w:pPr>
            <w:r>
              <w:rPr>
                <w:rFonts w:ascii="Arial" w:cs="Arial" w:eastAsia="Arial" w:hAnsi="Arial"/>
                <w:sz w:val="4"/>
                <w:szCs w:val="4"/>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30.9%</w:t>
            </w:r>
          </w:p>
        </w:tc>
        <w:tc>
          <w:tcPr>
            <w:tcW w:w="240" w:type="dxa"/>
            <w:vAlign w:val="bottom"/>
          </w:tcPr>
          <w:p>
            <w:pPr>
              <w:ind w:left="160"/>
              <w:spacing w:after="0"/>
              <w:rPr>
                <w:sz w:val="20"/>
                <w:szCs w:val="20"/>
                <w:color w:val="auto"/>
              </w:rPr>
            </w:pPr>
            <w:r>
              <w:rPr>
                <w:rFonts w:ascii="Arial" w:cs="Arial" w:eastAsia="Arial" w:hAnsi="Arial"/>
                <w:sz w:val="4"/>
                <w:szCs w:val="4"/>
                <w:color w:val="auto"/>
              </w:rPr>
              <w:t>​</w:t>
            </w:r>
          </w:p>
        </w:tc>
        <w:tc>
          <w:tcPr>
            <w:tcW w:w="30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060" w:type="dxa"/>
            <w:vAlign w:val="bottom"/>
            <w:gridSpan w:val="2"/>
          </w:tcPr>
          <w:p>
            <w:pPr>
              <w:jc w:val="center"/>
              <w:ind w:right="640"/>
              <w:spacing w:after="0"/>
              <w:rPr>
                <w:sz w:val="20"/>
                <w:szCs w:val="20"/>
                <w:color w:val="auto"/>
              </w:rPr>
            </w:pPr>
            <w:r>
              <w:rPr>
                <w:rFonts w:ascii="Arial" w:cs="Arial" w:eastAsia="Arial" w:hAnsi="Arial"/>
                <w:sz w:val="4"/>
                <w:szCs w:val="4"/>
                <w:color w:val="auto"/>
              </w:rPr>
              <w:t>​</w:t>
            </w:r>
          </w:p>
        </w:tc>
      </w:tr>
      <w:tr>
        <w:trPr>
          <w:trHeight w:val="558"/>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14"/>
                <w:szCs w:val="14"/>
                <w:b w:val="1"/>
                <w:bCs w:val="1"/>
                <w:color w:val="0063A6"/>
              </w:rPr>
              <w:t xml:space="preserve">       </w:t>
            </w: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A-1</w:t>
            </w:r>
          </w:p>
        </w:tc>
      </w:tr>
      <w:tr>
        <w:trPr>
          <w:trHeight w:val="168"/>
        </w:trPr>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63A6"/>
        </w:rPr>
        <w:t>APPENDIX A (continued)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6077585" cy="140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7585" cy="1405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6580" w:type="dxa"/>
            <w:vAlign w:val="bottom"/>
            <w:shd w:val="clear" w:color="auto" w:fill="0063A6"/>
          </w:tcPr>
          <w:p>
            <w:pPr>
              <w:ind w:left="650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2740" w:type="dxa"/>
            <w:vAlign w:val="bottom"/>
            <w:gridSpan w:val="4"/>
            <w:shd w:val="clear" w:color="auto" w:fill="0063A6"/>
          </w:tcPr>
          <w:p>
            <w:pPr>
              <w:jc w:val="right"/>
              <w:ind w:right="62"/>
              <w:spacing w:after="0"/>
              <w:rPr>
                <w:sz w:val="20"/>
                <w:szCs w:val="20"/>
                <w:color w:val="auto"/>
              </w:rPr>
            </w:pPr>
            <w:r>
              <w:rPr>
                <w:rFonts w:ascii="Arial" w:cs="Arial" w:eastAsia="Arial" w:hAnsi="Arial"/>
                <w:sz w:val="14"/>
                <w:szCs w:val="14"/>
                <w:b w:val="1"/>
                <w:bCs w:val="1"/>
                <w:color w:val="FFFFFF"/>
              </w:rPr>
              <w:t xml:space="preserve">Twelve Months Ended December 31, </w:t>
            </w:r>
            <w:r>
              <w:rPr>
                <w:rFonts w:ascii="Arial" w:cs="Arial" w:eastAsia="Arial" w:hAnsi="Arial"/>
                <w:sz w:val="3"/>
                <w:szCs w:val="3"/>
                <w:color w:val="000000"/>
              </w:rPr>
              <w:t>​</w:t>
            </w:r>
          </w:p>
        </w:tc>
      </w:tr>
      <w:tr>
        <w:trPr>
          <w:trHeight w:val="265"/>
        </w:trPr>
        <w:tc>
          <w:tcPr>
            <w:tcW w:w="40" w:type="dxa"/>
            <w:vAlign w:val="bottom"/>
            <w:shd w:val="clear" w:color="auto" w:fill="0063A6"/>
          </w:tcPr>
          <w:p>
            <w:pPr>
              <w:spacing w:after="0"/>
              <w:rPr>
                <w:sz w:val="20"/>
                <w:szCs w:val="20"/>
                <w:color w:val="auto"/>
              </w:rPr>
            </w:pPr>
            <w:r>
              <w:rPr>
                <w:rFonts w:ascii="Arial" w:cs="Arial" w:eastAsia="Arial" w:hAnsi="Arial"/>
                <w:sz w:val="4"/>
                <w:szCs w:val="4"/>
                <w:color w:val="auto"/>
              </w:rPr>
              <w:t>​</w:t>
            </w:r>
          </w:p>
        </w:tc>
        <w:tc>
          <w:tcPr>
            <w:tcW w:w="6580" w:type="dxa"/>
            <w:vAlign w:val="bottom"/>
            <w:shd w:val="clear" w:color="auto" w:fill="0063A6"/>
          </w:tcPr>
          <w:p>
            <w:pPr>
              <w:ind w:left="6500"/>
              <w:spacing w:after="0"/>
              <w:rPr>
                <w:sz w:val="20"/>
                <w:szCs w:val="20"/>
                <w:color w:val="auto"/>
              </w:rPr>
            </w:pPr>
            <w:r>
              <w:rPr>
                <w:rFonts w:ascii="Arial" w:cs="Arial" w:eastAsia="Arial" w:hAnsi="Arial"/>
                <w:sz w:val="4"/>
                <w:szCs w:val="4"/>
                <w:color w:val="auto"/>
              </w:rPr>
              <w:t>​</w:t>
            </w:r>
          </w:p>
        </w:tc>
        <w:tc>
          <w:tcPr>
            <w:tcW w:w="200" w:type="dxa"/>
            <w:vAlign w:val="bottom"/>
            <w:shd w:val="clear" w:color="auto" w:fill="0063A6"/>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0063A6"/>
          </w:tcPr>
          <w:p>
            <w:pPr>
              <w:jc w:val="right"/>
              <w:ind w:right="128"/>
              <w:spacing w:after="0"/>
              <w:rPr>
                <w:sz w:val="20"/>
                <w:szCs w:val="20"/>
                <w:color w:val="auto"/>
              </w:rPr>
            </w:pPr>
            <w:r>
              <w:rPr>
                <w:rFonts w:ascii="Arial" w:cs="Arial" w:eastAsia="Arial" w:hAnsi="Arial"/>
                <w:sz w:val="14"/>
                <w:szCs w:val="14"/>
                <w:b w:val="1"/>
                <w:bCs w:val="1"/>
                <w:color w:val="FFFFFF"/>
              </w:rPr>
              <w:t>2022</w:t>
            </w:r>
          </w:p>
        </w:tc>
        <w:tc>
          <w:tcPr>
            <w:tcW w:w="660" w:type="dxa"/>
            <w:vAlign w:val="bottom"/>
            <w:shd w:val="clear" w:color="auto" w:fill="0063A6"/>
          </w:tcPr>
          <w:p>
            <w:pPr>
              <w:ind w:left="200"/>
              <w:spacing w:after="0"/>
              <w:rPr>
                <w:sz w:val="20"/>
                <w:szCs w:val="20"/>
                <w:color w:val="auto"/>
              </w:rPr>
            </w:pPr>
            <w:r>
              <w:rPr>
                <w:rFonts w:ascii="Arial" w:cs="Arial" w:eastAsia="Arial" w:hAnsi="Arial"/>
                <w:sz w:val="4"/>
                <w:szCs w:val="4"/>
                <w:color w:val="auto"/>
              </w:rPr>
              <w:t>​​</w:t>
            </w:r>
          </w:p>
        </w:tc>
        <w:tc>
          <w:tcPr>
            <w:tcW w:w="820" w:type="dxa"/>
            <w:vAlign w:val="bottom"/>
            <w:shd w:val="clear" w:color="auto" w:fill="0063A6"/>
          </w:tcPr>
          <w:p>
            <w:pPr>
              <w:jc w:val="right"/>
              <w:ind w:right="148"/>
              <w:spacing w:after="0"/>
              <w:rPr>
                <w:sz w:val="20"/>
                <w:szCs w:val="20"/>
                <w:color w:val="auto"/>
              </w:rPr>
            </w:pPr>
            <w:r>
              <w:rPr>
                <w:rFonts w:ascii="Arial" w:cs="Arial" w:eastAsia="Arial" w:hAnsi="Arial"/>
                <w:sz w:val="14"/>
                <w:szCs w:val="14"/>
                <w:b w:val="1"/>
                <w:bCs w:val="1"/>
                <w:color w:val="FFFFFF"/>
              </w:rPr>
              <w:t>2021</w:t>
            </w:r>
          </w:p>
        </w:tc>
        <w:tc>
          <w:tcPr>
            <w:tcW w:w="320" w:type="dxa"/>
            <w:vAlign w:val="bottom"/>
            <w:shd w:val="clear" w:color="auto" w:fill="0063A6"/>
          </w:tcPr>
          <w:p>
            <w:pPr>
              <w:jc w:val="right"/>
              <w:ind w:right="62"/>
              <w:spacing w:after="0"/>
              <w:rPr>
                <w:sz w:val="20"/>
                <w:szCs w:val="20"/>
                <w:color w:val="auto"/>
              </w:rPr>
            </w:pPr>
            <w:r>
              <w:rPr>
                <w:rFonts w:ascii="Arial" w:cs="Arial" w:eastAsia="Arial" w:hAnsi="Arial"/>
                <w:sz w:val="4"/>
                <w:szCs w:val="4"/>
                <w:color w:val="auto"/>
              </w:rPr>
              <w:t>​</w:t>
            </w:r>
          </w:p>
        </w:tc>
      </w:tr>
      <w:tr>
        <w:trPr>
          <w:trHeight w:val="165"/>
        </w:trPr>
        <w:tc>
          <w:tcPr>
            <w:tcW w:w="40" w:type="dxa"/>
            <w:vAlign w:val="bottom"/>
            <w:shd w:val="clear" w:color="auto" w:fill="0063A6"/>
          </w:tcPr>
          <w:p>
            <w:pPr>
              <w:spacing w:after="0"/>
              <w:rPr>
                <w:sz w:val="14"/>
                <w:szCs w:val="14"/>
                <w:color w:val="auto"/>
              </w:rPr>
            </w:pPr>
          </w:p>
        </w:tc>
        <w:tc>
          <w:tcPr>
            <w:tcW w:w="6580" w:type="dxa"/>
            <w:vAlign w:val="bottom"/>
            <w:shd w:val="clear" w:color="auto" w:fill="0063A6"/>
          </w:tcPr>
          <w:p>
            <w:pPr>
              <w:spacing w:after="0"/>
              <w:rPr>
                <w:sz w:val="14"/>
                <w:szCs w:val="14"/>
                <w:color w:val="auto"/>
              </w:rPr>
            </w:pPr>
          </w:p>
        </w:tc>
        <w:tc>
          <w:tcPr>
            <w:tcW w:w="200" w:type="dxa"/>
            <w:vAlign w:val="bottom"/>
            <w:shd w:val="clear" w:color="auto" w:fill="0063A6"/>
          </w:tcPr>
          <w:p>
            <w:pPr>
              <w:spacing w:after="0"/>
              <w:rPr>
                <w:sz w:val="14"/>
                <w:szCs w:val="14"/>
                <w:color w:val="auto"/>
              </w:rPr>
            </w:pPr>
          </w:p>
        </w:tc>
        <w:tc>
          <w:tcPr>
            <w:tcW w:w="94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82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720" w:type="dxa"/>
            <w:vAlign w:val="bottom"/>
            <w:shd w:val="clear" w:color="auto" w:fill="F2F2F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860" w:type="dxa"/>
            <w:vAlign w:val="bottom"/>
            <w:shd w:val="clear" w:color="auto" w:fill="F2F2F2"/>
          </w:tcPr>
          <w:p>
            <w:pPr>
              <w:ind w:left="178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119"/>
              <w:spacing w:after="0"/>
              <w:rPr>
                <w:sz w:val="20"/>
                <w:szCs w:val="20"/>
                <w:color w:val="auto"/>
              </w:rPr>
            </w:pPr>
            <w:r>
              <w:rPr>
                <w:rFonts w:ascii="Arial" w:cs="Arial" w:eastAsia="Arial" w:hAnsi="Arial"/>
                <w:sz w:val="16"/>
                <w:szCs w:val="16"/>
                <w:color w:val="auto"/>
              </w:rPr>
              <w:t>797.3</w:t>
            </w:r>
          </w:p>
        </w:tc>
        <w:tc>
          <w:tcPr>
            <w:tcW w:w="22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right"/>
              <w:ind w:right="139"/>
              <w:spacing w:after="0"/>
              <w:rPr>
                <w:sz w:val="20"/>
                <w:szCs w:val="20"/>
                <w:color w:val="auto"/>
              </w:rPr>
            </w:pPr>
            <w:r>
              <w:rPr>
                <w:rFonts w:ascii="Arial" w:cs="Arial" w:eastAsia="Arial" w:hAnsi="Arial"/>
                <w:sz w:val="16"/>
                <w:szCs w:val="16"/>
                <w:color w:val="auto"/>
              </w:rPr>
              <w:t>$729.8</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shd w:val="clear" w:color="auto" w:fill="F2F2F2"/>
          </w:tcPr>
          <w:p>
            <w:pPr>
              <w:spacing w:after="0"/>
              <w:rPr>
                <w:sz w:val="7"/>
                <w:szCs w:val="7"/>
                <w:color w:val="auto"/>
              </w:rPr>
            </w:pPr>
          </w:p>
        </w:tc>
        <w:tc>
          <w:tcPr>
            <w:tcW w:w="4720" w:type="dxa"/>
            <w:vAlign w:val="bottom"/>
            <w:shd w:val="clear" w:color="auto" w:fill="F2F2F2"/>
          </w:tcPr>
          <w:p>
            <w:pPr>
              <w:spacing w:after="0"/>
              <w:rPr>
                <w:sz w:val="7"/>
                <w:szCs w:val="7"/>
                <w:color w:val="auto"/>
              </w:rPr>
            </w:pPr>
          </w:p>
        </w:tc>
        <w:tc>
          <w:tcPr>
            <w:tcW w:w="186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86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9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4720" w:type="dxa"/>
            <w:vAlign w:val="bottom"/>
          </w:tcPr>
          <w:p>
            <w:pPr>
              <w:ind w:left="40"/>
              <w:spacing w:after="0"/>
              <w:rPr>
                <w:sz w:val="20"/>
                <w:szCs w:val="20"/>
                <w:color w:val="auto"/>
              </w:rPr>
            </w:pPr>
            <w:r>
              <w:rPr>
                <w:rFonts w:ascii="Arial" w:cs="Arial" w:eastAsia="Arial" w:hAnsi="Arial"/>
                <w:sz w:val="16"/>
                <w:szCs w:val="16"/>
                <w:color w:val="auto"/>
              </w:rPr>
              <w:t>Less:</w:t>
            </w:r>
          </w:p>
        </w:tc>
        <w:tc>
          <w:tcPr>
            <w:tcW w:w="1860" w:type="dxa"/>
            <w:vAlign w:val="bottom"/>
          </w:tcPr>
          <w:p>
            <w:pPr>
              <w:ind w:left="1780"/>
              <w:spacing w:after="0"/>
              <w:rPr>
                <w:sz w:val="20"/>
                <w:szCs w:val="20"/>
                <w:color w:val="auto"/>
              </w:rPr>
            </w:pPr>
            <w:r>
              <w:rPr>
                <w:rFonts w:ascii="Arial" w:cs="Arial" w:eastAsia="Arial" w:hAnsi="Arial"/>
                <w:sz w:val="4"/>
                <w:szCs w:val="4"/>
                <w:color w:val="auto"/>
              </w:rPr>
              <w:t>​</w:t>
            </w:r>
          </w:p>
        </w:tc>
        <w:tc>
          <w:tcPr>
            <w:tcW w:w="34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3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r>
      <w:tr>
        <w:trPr>
          <w:trHeight w:val="87"/>
        </w:trPr>
        <w:tc>
          <w:tcPr>
            <w:tcW w:w="40" w:type="dxa"/>
            <w:vAlign w:val="bottom"/>
          </w:tcPr>
          <w:p>
            <w:pPr>
              <w:spacing w:after="0"/>
              <w:rPr>
                <w:sz w:val="7"/>
                <w:szCs w:val="7"/>
                <w:color w:val="auto"/>
              </w:rPr>
            </w:pPr>
          </w:p>
        </w:tc>
        <w:tc>
          <w:tcPr>
            <w:tcW w:w="47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199"/>
        </w:trPr>
        <w:tc>
          <w:tcPr>
            <w:tcW w:w="40" w:type="dxa"/>
            <w:vAlign w:val="bottom"/>
            <w:shd w:val="clear" w:color="auto" w:fill="F2F2F2"/>
          </w:tcPr>
          <w:p>
            <w:pPr>
              <w:spacing w:after="0"/>
              <w:rPr>
                <w:sz w:val="20"/>
                <w:szCs w:val="20"/>
                <w:color w:val="auto"/>
              </w:rPr>
            </w:pPr>
            <w:r>
              <w:rPr>
                <w:rFonts w:ascii="Arial" w:cs="Arial" w:eastAsia="Arial" w:hAnsi="Arial"/>
                <w:sz w:val="4"/>
                <w:szCs w:val="4"/>
                <w:color w:val="auto"/>
              </w:rPr>
              <w:t>​</w:t>
            </w:r>
          </w:p>
        </w:tc>
        <w:tc>
          <w:tcPr>
            <w:tcW w:w="47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Capital expenditures</w:t>
            </w:r>
          </w:p>
        </w:tc>
        <w:tc>
          <w:tcPr>
            <w:tcW w:w="1860" w:type="dxa"/>
            <w:vAlign w:val="bottom"/>
            <w:shd w:val="clear" w:color="auto" w:fill="F2F2F2"/>
          </w:tcPr>
          <w:p>
            <w:pPr>
              <w:ind w:left="178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86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(33.8)</w:t>
            </w:r>
          </w:p>
        </w:tc>
        <w:tc>
          <w:tcPr>
            <w:tcW w:w="22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c>
          <w:tcPr>
            <w:tcW w:w="340" w:type="dxa"/>
            <w:vAlign w:val="bottom"/>
            <w:shd w:val="clear" w:color="auto" w:fill="F2F2F2"/>
          </w:tcPr>
          <w:p>
            <w:pPr>
              <w:ind w:left="80"/>
              <w:spacing w:after="0"/>
              <w:rPr>
                <w:sz w:val="20"/>
                <w:szCs w:val="20"/>
                <w:color w:val="auto"/>
              </w:rPr>
            </w:pPr>
            <w:r>
              <w:rPr>
                <w:rFonts w:ascii="Arial" w:cs="Arial" w:eastAsia="Arial" w:hAnsi="Arial"/>
                <w:sz w:val="4"/>
                <w:szCs w:val="4"/>
                <w:color w:val="auto"/>
              </w:rPr>
              <w:t>​</w:t>
            </w:r>
          </w:p>
        </w:tc>
        <w:tc>
          <w:tcPr>
            <w:tcW w:w="94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(22.1)</w:t>
            </w:r>
          </w:p>
        </w:tc>
        <w:tc>
          <w:tcPr>
            <w:tcW w:w="240" w:type="dxa"/>
            <w:vAlign w:val="bottom"/>
            <w:shd w:val="clear" w:color="auto" w:fill="F2F2F2"/>
          </w:tcPr>
          <w:p>
            <w:pPr>
              <w:ind w:left="140"/>
              <w:spacing w:after="0"/>
              <w:rPr>
                <w:sz w:val="20"/>
                <w:szCs w:val="20"/>
                <w:color w:val="auto"/>
              </w:rPr>
            </w:pPr>
            <w:r>
              <w:rPr>
                <w:rFonts w:ascii="Arial" w:cs="Arial" w:eastAsia="Arial" w:hAnsi="Arial"/>
                <w:sz w:val="4"/>
                <w:szCs w:val="4"/>
                <w:color w:val="auto"/>
              </w:rPr>
              <w:t>​</w:t>
            </w:r>
          </w:p>
        </w:tc>
      </w:tr>
      <w:tr>
        <w:trPr>
          <w:trHeight w:val="179"/>
        </w:trPr>
        <w:tc>
          <w:tcPr>
            <w:tcW w:w="40" w:type="dxa"/>
            <w:vAlign w:val="bottom"/>
            <w:shd w:val="clear" w:color="auto" w:fill="F2F2F2"/>
          </w:tcPr>
          <w:p>
            <w:pPr>
              <w:spacing w:after="0"/>
              <w:rPr>
                <w:sz w:val="15"/>
                <w:szCs w:val="15"/>
                <w:color w:val="auto"/>
              </w:rPr>
            </w:pPr>
          </w:p>
        </w:tc>
        <w:tc>
          <w:tcPr>
            <w:tcW w:w="4720" w:type="dxa"/>
            <w:vAlign w:val="bottom"/>
            <w:shd w:val="clear" w:color="auto" w:fill="F2F2F2"/>
          </w:tcPr>
          <w:p>
            <w:pPr>
              <w:spacing w:after="0"/>
              <w:rPr>
                <w:sz w:val="15"/>
                <w:szCs w:val="15"/>
                <w:color w:val="auto"/>
              </w:rPr>
            </w:pPr>
          </w:p>
        </w:tc>
        <w:tc>
          <w:tcPr>
            <w:tcW w:w="186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86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r>
      <w:tr>
        <w:trPr>
          <w:trHeight w:val="291"/>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4720" w:type="dxa"/>
            <w:vAlign w:val="bottom"/>
          </w:tcPr>
          <w:p>
            <w:pPr>
              <w:ind w:left="40"/>
              <w:spacing w:after="0"/>
              <w:rPr>
                <w:sz w:val="20"/>
                <w:szCs w:val="20"/>
                <w:color w:val="auto"/>
              </w:rPr>
            </w:pPr>
            <w:r>
              <w:rPr>
                <w:rFonts w:ascii="Arial" w:cs="Arial" w:eastAsia="Arial" w:hAnsi="Arial"/>
                <w:sz w:val="16"/>
                <w:szCs w:val="16"/>
                <w:color w:val="auto"/>
              </w:rPr>
              <w:t>Free cash flow</w:t>
            </w:r>
          </w:p>
        </w:tc>
        <w:tc>
          <w:tcPr>
            <w:tcW w:w="1860" w:type="dxa"/>
            <w:vAlign w:val="bottom"/>
          </w:tcPr>
          <w:p>
            <w:pPr>
              <w:ind w:left="1780"/>
              <w:spacing w:after="0"/>
              <w:rPr>
                <w:sz w:val="20"/>
                <w:szCs w:val="20"/>
                <w:color w:val="auto"/>
              </w:rPr>
            </w:pPr>
            <w:r>
              <w:rPr>
                <w:rFonts w:ascii="Arial" w:cs="Arial" w:eastAsia="Arial" w:hAnsi="Arial"/>
                <w:sz w:val="4"/>
                <w:szCs w:val="4"/>
                <w:color w:val="auto"/>
              </w:rPr>
              <w:t>​</w:t>
            </w:r>
          </w:p>
        </w:tc>
        <w:tc>
          <w:tcPr>
            <w:tcW w:w="340" w:type="dxa"/>
            <w:vAlign w:val="bottom"/>
          </w:tcPr>
          <w:p>
            <w:pPr>
              <w:ind w:left="80"/>
              <w:spacing w:after="0"/>
              <w:rPr>
                <w:sz w:val="20"/>
                <w:szCs w:val="20"/>
                <w:color w:val="auto"/>
              </w:rPr>
            </w:pPr>
            <w:r>
              <w:rPr>
                <w:rFonts w:ascii="Arial" w:cs="Arial" w:eastAsia="Arial" w:hAnsi="Arial"/>
                <w:sz w:val="4"/>
                <w:szCs w:val="4"/>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763.5</w:t>
            </w:r>
          </w:p>
        </w:tc>
        <w:tc>
          <w:tcPr>
            <w:tcW w:w="220" w:type="dxa"/>
            <w:vAlign w:val="bottom"/>
          </w:tcPr>
          <w:p>
            <w:pPr>
              <w:ind w:left="140"/>
              <w:spacing w:after="0"/>
              <w:rPr>
                <w:sz w:val="20"/>
                <w:szCs w:val="20"/>
                <w:color w:val="auto"/>
              </w:rPr>
            </w:pPr>
            <w:r>
              <w:rPr>
                <w:rFonts w:ascii="Arial" w:cs="Arial" w:eastAsia="Arial" w:hAnsi="Arial"/>
                <w:sz w:val="4"/>
                <w:szCs w:val="4"/>
                <w:color w:val="auto"/>
              </w:rPr>
              <w:t>​</w:t>
            </w:r>
          </w:p>
        </w:tc>
        <w:tc>
          <w:tcPr>
            <w:tcW w:w="340" w:type="dxa"/>
            <w:vAlign w:val="bottom"/>
          </w:tcPr>
          <w:p>
            <w:pPr>
              <w:ind w:left="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707.7</w:t>
            </w:r>
          </w:p>
        </w:tc>
        <w:tc>
          <w:tcPr>
            <w:tcW w:w="240" w:type="dxa"/>
            <w:vAlign w:val="bottom"/>
          </w:tcPr>
          <w:p>
            <w:pPr>
              <w:ind w:left="140"/>
              <w:spacing w:after="0"/>
              <w:rPr>
                <w:sz w:val="20"/>
                <w:szCs w:val="20"/>
                <w:color w:val="auto"/>
              </w:rPr>
            </w:pPr>
            <w:r>
              <w:rPr>
                <w:rFonts w:ascii="Arial" w:cs="Arial" w:eastAsia="Arial" w:hAnsi="Arial"/>
                <w:sz w:val="4"/>
                <w:szCs w:val="4"/>
                <w:color w:val="auto"/>
              </w:rPr>
              <w:t>​</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109220</wp:posOffset>
            </wp:positionV>
            <wp:extent cx="6292215" cy="8143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109220</wp:posOffset>
            </wp:positionV>
            <wp:extent cx="6292215" cy="8143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lowerRoman"/>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
      <w:numFmt w:val="bullet"/>
      <w:start w:val="1"/>
    </w:lvl>
    <w:lvl w:ilvl="1">
      <w:lvlJc w:val="left"/>
      <w:lvlText w:val="•"/>
      <w:numFmt w:val="bullet"/>
      <w:start w:val="1"/>
    </w:lvl>
  </w:abstractNum>
  <w:abstractNum w:abstractNumId="27">
    <w:nsid w:val="749ABB43"/>
    <w:multiLevelType w:val="hybridMultilevel"/>
    <w:lvl w:ilvl="0">
      <w:lvlJc w:val="left"/>
      <w:lvlText w:val="•"/>
      <w:numFmt w:val="bullet"/>
      <w:start w:val="1"/>
    </w:lvl>
    <w:lvl w:ilvl="1">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lvl w:ilvl="1">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
      <w:numFmt w:val="bullet"/>
      <w:start w:val="1"/>
    </w:lvl>
  </w:abstractNum>
  <w:abstractNum w:abstractNumId="45">
    <w:nsid w:val="354FE9F9"/>
    <w:multiLevelType w:val="hybridMultilevel"/>
    <w:lvl w:ilvl="0">
      <w:lvlJc w:val="left"/>
      <w:lvlText w:val="​"/>
      <w:numFmt w:val="bullet"/>
      <w:start w:val="1"/>
    </w:lvl>
    <w:lvl w:ilvl="1">
      <w:lvlJc w:val="left"/>
      <w:lvlText w:val=" "/>
      <w:numFmt w:val="bullet"/>
      <w:start w:val="1"/>
    </w:lvl>
  </w:abstractNum>
  <w:abstractNum w:abstractNumId="46">
    <w:nsid w:val="15B5AF5C"/>
    <w:multiLevelType w:val="hybridMultilevel"/>
    <w:lvl w:ilvl="0">
      <w:lvlJc w:val="left"/>
      <w:lvlText w:val=" "/>
      <w:numFmt w:val="bullet"/>
      <w:start w:val="1"/>
    </w:lvl>
  </w:abstractNum>
  <w:abstractNum w:abstractNumId="47">
    <w:nsid w:val="741226BB"/>
    <w:multiLevelType w:val="hybridMultilevel"/>
    <w:lvl w:ilvl="0">
      <w:lvlJc w:val="left"/>
      <w:lvlText w:val=" "/>
      <w:numFmt w:val="bullet"/>
      <w:start w:val="1"/>
    </w:lvl>
  </w:abstractNum>
  <w:abstractNum w:abstractNumId="48">
    <w:nsid w:val="D34B6A8"/>
    <w:multiLevelType w:val="hybridMultilevel"/>
    <w:lvl w:ilvl="0">
      <w:lvlJc w:val="left"/>
      <w:lvlText w:val=" "/>
      <w:numFmt w:val="bullet"/>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lowerRoman"/>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3"/>
    </w:lvl>
  </w:abstractNum>
  <w:abstractNum w:abstractNumId="64">
    <w:nsid w:val="100F8FCA"/>
    <w:multiLevelType w:val="hybridMultilevel"/>
    <w:lvl w:ilvl="0">
      <w:lvlJc w:val="left"/>
      <w:lvlText w:val="(%1)"/>
      <w:numFmt w:val="decimal"/>
      <w:start w:val="4"/>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decimal"/>
      <w:start w:val="5"/>
    </w:lvl>
    <w:lvl w:ilvl="1">
      <w:lvlJc w:val="left"/>
      <w:lvlText w:val="%2"/>
      <w:numFmt w:val="lowerLetter"/>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2023-04-04T15:32:53Z</dcterms:created>
  <dcterms:modified xsi:type="dcterms:W3CDTF">2023-04-04T15:32:53Z</dcterms:modified>
</cp:coreProperties>
</file>