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December 31,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001-38434 </w:t>
      </w:r>
    </w:p>
    <w:p>
      <w:pPr>
        <w:pStyle w:val="TextBody"/>
        <w:bidi w:val="0"/>
        <w:spacing w:before="0" w:after="0"/>
        <w:jc w:val="center"/>
        <w:rPr/>
      </w:pPr>
      <w:r>
        <w:rPr/>
      </w:r>
    </w:p>
    <w:tbl>
      <w:tblPr>
        <w:tblW w:w="3929" w:type="dxa"/>
        <w:jc w:val="center"/>
        <w:tblInd w:w="0" w:type="dxa"/>
        <w:tblLayout w:type="fixed"/>
        <w:tblCellMar>
          <w:top w:w="28" w:type="dxa"/>
          <w:left w:w="28" w:type="dxa"/>
          <w:bottom w:w="28" w:type="dxa"/>
          <w:right w:w="28" w:type="dxa"/>
        </w:tblCellMar>
      </w:tblPr>
      <w:tblGrid>
        <w:gridCol w:w="1257"/>
        <w:gridCol w:w="1106"/>
        <w:gridCol w:w="1566"/>
      </w:tblGrid>
      <w:tr>
        <w:trPr/>
        <w:tc>
          <w:tcPr>
            <w:tcW w:w="125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Dropbox, Inc.</w:t>
            </w:r>
          </w:p>
        </w:tc>
      </w:tr>
      <w:tr>
        <w:trPr/>
        <w:tc>
          <w:tcPr>
            <w:tcW w:w="3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bl>
    <w:p>
      <w:pPr>
        <w:pStyle w:val="TextBody"/>
        <w:bidi w:val="0"/>
        <w:spacing w:lineRule="auto" w:line="288" w:before="40" w:after="283"/>
        <w:jc w:val="center"/>
        <w:rPr>
          <w:color w:val="000000"/>
        </w:rPr>
      </w:pPr>
      <w:r>
        <w:rPr>
          <w:color w:val="000000"/>
        </w:rPr>
        <w:t> </w:t>
      </w:r>
    </w:p>
    <w:tbl>
      <w:tblPr>
        <w:tblW w:w="5165"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109"/>
        <w:gridCol w:w="109"/>
        <w:gridCol w:w="109"/>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26-0138832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Dropbox,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1800 Owens Street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California 94158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(415) 930-7766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left"/>
        <w:rPr/>
      </w:pPr>
      <w:r>
        <w:rPr/>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Securities registered pursuant to Section 12(g) of the Act</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if the registrant is not required to file reports pursuant to Section 13 or Section 15(d) of the Securities Exchange Act of 1934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40" w:after="283"/>
        <w:ind w:left="0" w:right="0" w:firstLine="360"/>
        <w:jc w:val="left"/>
        <w:rPr/>
      </w:pPr>
      <w:r>
        <w:rPr/>
      </w:r>
    </w:p>
    <w:tbl>
      <w:tblPr>
        <w:tblW w:w="535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69"/>
        <w:gridCol w:w="669"/>
        <w:gridCol w:w="67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Class A common stock held by non-affiliates of the registrant, based on the closing price of a share of the registrant's Class A common stock on June 30, 2025 as reported by the NASDAQ Global Select Market on such date was approximately $3,097.8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February 13, 2026, there were 165,704,072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22,427 shares of Class A common stock subject to restricted stock awards that were granted to other Dropbox executives and vest upon the satisfaction of a service condition), 75,484,246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val="false"/>
          <w:color w:val="000000"/>
          <w:sz w:val="18"/>
        </w:rPr>
      </w:pPr>
      <w:r>
        <w:rPr>
          <w:rFonts w:ascii="Times New Roman;serif" w:hAnsi="Times New Roman;serif"/>
          <w:b w:val="false"/>
          <w:color w:val="000000"/>
          <w:sz w:val="18"/>
        </w:rPr>
        <w:t>DOCUMENTS INCORPORATED BY REFERENCE</w:t>
      </w:r>
    </w:p>
    <w:p>
      <w:pPr>
        <w:pStyle w:val="TextBody"/>
        <w:bidi w:val="0"/>
        <w:spacing w:before="0" w:after="0"/>
        <w:jc w:val="center"/>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the 2025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9"/>
        <w:gridCol w:w="254"/>
        <w:gridCol w:w="254"/>
        <w:gridCol w:w="2852"/>
        <w:gridCol w:w="2829"/>
        <w:gridCol w:w="2841"/>
        <w:gridCol w:w="231"/>
        <w:gridCol w:w="226"/>
        <w:gridCol w:w="339"/>
      </w:tblGrid>
      <w:tr>
        <w:trPr/>
        <w:tc>
          <w:tcPr>
            <w:tcW w:w="3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6">
              <w:r>
                <w:rPr>
                  <w:rStyle w:val="InternetLink"/>
                  <w:rFonts w:ascii="Times New Roman;serif" w:hAnsi="Times New Roman;serif"/>
                  <w:b w:val="false"/>
                  <w:color w:val="0000FF"/>
                  <w:sz w:val="20"/>
                  <w:u w:val="single"/>
                </w:rPr>
                <w:t>Business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6">
              <w:r>
                <w:rPr>
                  <w:rStyle w:val="InternetLink"/>
                  <w:rFonts w:ascii="Times New Roman;serif" w:hAnsi="Times New Roman;serif"/>
                  <w:b w:val="false"/>
                  <w:color w:val="0000FF"/>
                  <w:sz w:val="20"/>
                  <w:u w:val="single"/>
                </w:rPr>
                <w:t>6</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9">
              <w:r>
                <w:rPr>
                  <w:rStyle w:val="InternetLink"/>
                  <w:rFonts w:ascii="Times New Roman;serif" w:hAnsi="Times New Roman;serif"/>
                  <w:b w:val="false"/>
                  <w:color w:val="0000FF"/>
                  <w:sz w:val="20"/>
                  <w:u w:val="single"/>
                </w:rPr>
                <w:t>Risk Factors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9">
              <w:r>
                <w:rPr>
                  <w:rStyle w:val="InternetLink"/>
                  <w:rFonts w:ascii="Times New Roman;serif" w:hAnsi="Times New Roman;serif"/>
                  <w:b w:val="false"/>
                  <w:color w:val="0000FF"/>
                  <w:sz w:val="20"/>
                  <w:u w:val="single"/>
                </w:rPr>
                <w:t>15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22">
              <w:r>
                <w:rPr>
                  <w:rStyle w:val="InternetLink"/>
                  <w:rFonts w:ascii="Times New Roman;serif" w:hAnsi="Times New Roman;serif"/>
                  <w:b w:val="false"/>
                  <w:color w:val="0000FF"/>
                  <w:sz w:val="20"/>
                  <w:u w:val="single"/>
                </w:rPr>
                <w:t>Unresolved Staff Comments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22">
              <w:r>
                <w:rPr>
                  <w:rStyle w:val="InternetLink"/>
                  <w:rFonts w:ascii="Times New Roman;serif" w:hAnsi="Times New Roman;serif"/>
                  <w:b w:val="false"/>
                  <w:color w:val="0000FF"/>
                  <w:sz w:val="20"/>
                  <w:u w:val="single"/>
                </w:rPr>
                <w:t>44</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25">
              <w:r>
                <w:rPr>
                  <w:rStyle w:val="InternetLink"/>
                  <w:rFonts w:ascii="Times New Roman;serif" w:hAnsi="Times New Roman;serif"/>
                  <w:b w:val="false"/>
                  <w:color w:val="0000FF"/>
                  <w:sz w:val="20"/>
                  <w:u w:val="single"/>
                </w:rPr>
                <w:t>Cybersecurity</w:t>
              </w:r>
            </w:hyperlink>
            <w:r>
              <w:rPr>
                <w:color w:val="000000"/>
              </w:rPr>
              <w:t xml:space="preserve"> </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25">
              <w:r>
                <w:rPr>
                  <w:rStyle w:val="InternetLink"/>
                  <w:rFonts w:ascii="Times New Roman;serif" w:hAnsi="Times New Roman;serif"/>
                  <w:b w:val="false"/>
                  <w:color w:val="0000FF"/>
                  <w:sz w:val="20"/>
                  <w:u w:val="single"/>
                </w:rPr>
                <w:t>44</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28">
              <w:r>
                <w:rPr>
                  <w:rStyle w:val="InternetLink"/>
                  <w:rFonts w:ascii="Times New Roman;serif" w:hAnsi="Times New Roman;serif"/>
                  <w:b w:val="false"/>
                  <w:color w:val="0000FF"/>
                  <w:sz w:val="20"/>
                  <w:u w:val="single"/>
                </w:rPr>
                <w:t>Properties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28">
              <w:r>
                <w:rPr>
                  <w:rStyle w:val="InternetLink"/>
                  <w:rFonts w:ascii="Times New Roman;serif" w:hAnsi="Times New Roman;serif"/>
                  <w:b w:val="false"/>
                  <w:color w:val="0000FF"/>
                  <w:sz w:val="20"/>
                  <w:u w:val="single"/>
                </w:rPr>
                <w:t>45</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31">
              <w:r>
                <w:rPr>
                  <w:rStyle w:val="InternetLink"/>
                  <w:rFonts w:ascii="Times New Roman;serif" w:hAnsi="Times New Roman;serif"/>
                  <w:b w:val="false"/>
                  <w:color w:val="0000FF"/>
                  <w:sz w:val="20"/>
                  <w:u w:val="single"/>
                </w:rPr>
                <w:t>Legal Proceedings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31">
              <w:r>
                <w:rPr>
                  <w:rStyle w:val="InternetLink"/>
                  <w:rFonts w:ascii="Times New Roman;serif" w:hAnsi="Times New Roman;serif"/>
                  <w:b w:val="false"/>
                  <w:color w:val="0000FF"/>
                  <w:sz w:val="20"/>
                  <w:u w:val="single"/>
                </w:rPr>
                <w:t>45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34">
              <w:r>
                <w:rPr>
                  <w:rStyle w:val="InternetLink"/>
                  <w:rFonts w:ascii="Times New Roman;serif" w:hAnsi="Times New Roman;serif"/>
                  <w:b w:val="false"/>
                  <w:color w:val="0000FF"/>
                  <w:sz w:val="20"/>
                  <w:u w:val="single"/>
                </w:rPr>
                <w:t>Mine Safety Disclosures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34">
              <w:r>
                <w:rPr>
                  <w:rStyle w:val="InternetLink"/>
                  <w:rFonts w:ascii="Times New Roman;serif" w:hAnsi="Times New Roman;serif"/>
                  <w:b w:val="false"/>
                  <w:color w:val="0000FF"/>
                  <w:sz w:val="20"/>
                  <w:u w:val="single"/>
                </w:rPr>
                <w:t>46</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40">
              <w:r>
                <w:rPr>
                  <w:rStyle w:val="InternetLink"/>
                  <w:rFonts w:ascii="Times New Roman;serif" w:hAnsi="Times New Roman;serif"/>
                  <w:b w:val="false"/>
                  <w:color w:val="0000FF"/>
                  <w:sz w:val="20"/>
                  <w:u w:val="single"/>
                </w:rPr>
                <w:t>47</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43">
              <w:r>
                <w:rPr>
                  <w:rStyle w:val="InternetLink"/>
                  <w:rFonts w:ascii="Times New Roman;serif" w:hAnsi="Times New Roman;serif"/>
                  <w:b w:val="false"/>
                  <w:color w:val="0000FF"/>
                  <w:sz w:val="20"/>
                  <w:u w:val="single"/>
                </w:rPr>
                <w:t>[Reserved]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43">
              <w:r>
                <w:rPr>
                  <w:rStyle w:val="InternetLink"/>
                  <w:rFonts w:ascii="Times New Roman;serif" w:hAnsi="Times New Roman;serif"/>
                  <w:b w:val="false"/>
                  <w:color w:val="0000FF"/>
                  <w:sz w:val="20"/>
                  <w:u w:val="single"/>
                </w:rPr>
                <w:t>48</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46">
              <w:r>
                <w:rPr>
                  <w:rStyle w:val="InternetLink"/>
                  <w:rFonts w:ascii="Times New Roman;serif" w:hAnsi="Times New Roman;serif"/>
                  <w:b w:val="false"/>
                  <w:color w:val="0000FF"/>
                  <w:sz w:val="20"/>
                  <w:u w:val="single"/>
                </w:rPr>
                <w:t>49</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73">
              <w:r>
                <w:rPr>
                  <w:rStyle w:val="InternetLink"/>
                  <w:rFonts w:ascii="Times New Roman;serif" w:hAnsi="Times New Roman;serif"/>
                  <w:b w:val="false"/>
                  <w:color w:val="0000FF"/>
                  <w:sz w:val="20"/>
                  <w:u w:val="single"/>
                </w:rPr>
                <w:t>Quantitative and Qualitative Disclosures About Market Risk</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73">
              <w:r>
                <w:rPr>
                  <w:rStyle w:val="InternetLink"/>
                  <w:rFonts w:ascii="Times New Roman;serif" w:hAnsi="Times New Roman;serif"/>
                  <w:b w:val="false"/>
                  <w:color w:val="0000FF"/>
                  <w:sz w:val="20"/>
                  <w:u w:val="single"/>
                </w:rPr>
                <w:t>65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76">
              <w:r>
                <w:rPr>
                  <w:rStyle w:val="InternetLink"/>
                  <w:rFonts w:ascii="Times New Roman;serif" w:hAnsi="Times New Roman;serif"/>
                  <w:b w:val="false"/>
                  <w:color w:val="0000FF"/>
                  <w:sz w:val="20"/>
                  <w:u w:val="single"/>
                </w:rPr>
                <w:t>Financial Statements and Supplementary Data</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76">
              <w:r>
                <w:rPr>
                  <w:rStyle w:val="InternetLink"/>
                  <w:rFonts w:ascii="Times New Roman;serif" w:hAnsi="Times New Roman;serif"/>
                  <w:b w:val="false"/>
                  <w:color w:val="0000FF"/>
                  <w:sz w:val="20"/>
                  <w:u w:val="single"/>
                </w:rPr>
                <w:t>69</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6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63">
              <w:r>
                <w:rPr>
                  <w:rStyle w:val="InternetLink"/>
                  <w:rFonts w:ascii="Times New Roman;serif" w:hAnsi="Times New Roman;serif"/>
                  <w:b w:val="false"/>
                  <w:color w:val="0000FF"/>
                  <w:sz w:val="20"/>
                  <w:u w:val="single"/>
                </w:rPr>
                <w:t>109</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66">
              <w:r>
                <w:rPr>
                  <w:rStyle w:val="InternetLink"/>
                  <w:rFonts w:ascii="Times New Roman;serif" w:hAnsi="Times New Roman;serif"/>
                  <w:b w:val="false"/>
                  <w:color w:val="0000FF"/>
                  <w:sz w:val="20"/>
                  <w:u w:val="single"/>
                </w:rPr>
                <w:t>Controls and Procedures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66">
              <w:r>
                <w:rPr>
                  <w:rStyle w:val="InternetLink"/>
                  <w:rFonts w:ascii="Times New Roman;serif" w:hAnsi="Times New Roman;serif"/>
                  <w:b w:val="false"/>
                  <w:color w:val="0000FF"/>
                  <w:sz w:val="20"/>
                  <w:u w:val="single"/>
                </w:rPr>
                <w:t>109</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69">
              <w:r>
                <w:rPr>
                  <w:rStyle w:val="InternetLink"/>
                  <w:rFonts w:ascii="Times New Roman;serif" w:hAnsi="Times New Roman;serif"/>
                  <w:b w:val="false"/>
                  <w:color w:val="0000FF"/>
                  <w:sz w:val="20"/>
                  <w:u w:val="single"/>
                </w:rPr>
                <w:t>Other Information</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69">
              <w:r>
                <w:rPr>
                  <w:rStyle w:val="InternetLink"/>
                  <w:rFonts w:ascii="Times New Roman;serif" w:hAnsi="Times New Roman;serif"/>
                  <w:b w:val="false"/>
                  <w:color w:val="0000FF"/>
                  <w:sz w:val="20"/>
                  <w:u w:val="single"/>
                </w:rPr>
                <w:t>110</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75">
              <w:r>
                <w:rPr>
                  <w:rStyle w:val="InternetLink"/>
                  <w:rFonts w:ascii="Times New Roman;serif" w:hAnsi="Times New Roman;serif"/>
                  <w:b w:val="false"/>
                  <w:color w:val="0000FF"/>
                  <w:sz w:val="20"/>
                  <w:u w:val="single"/>
                </w:rPr>
                <w:t xml:space="preserve">Disclosure Regarding Foreign Jurisdictions that Prevent Inspections </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75">
              <w:r>
                <w:rPr>
                  <w:rStyle w:val="InternetLink"/>
                  <w:rFonts w:ascii="Times New Roman;serif" w:hAnsi="Times New Roman;serif"/>
                  <w:b w:val="false"/>
                  <w:color w:val="0000FF"/>
                  <w:sz w:val="20"/>
                  <w:u w:val="single"/>
                </w:rPr>
                <w:t>110</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81">
              <w:r>
                <w:rPr>
                  <w:rStyle w:val="InternetLink"/>
                  <w:rFonts w:ascii="Times New Roman;serif" w:hAnsi="Times New Roman;serif"/>
                  <w:b w:val="false"/>
                  <w:color w:val="0000FF"/>
                  <w:sz w:val="20"/>
                  <w:u w:val="single"/>
                </w:rPr>
                <w:t>Directors, Executive Officers and Corporate Governance</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81">
              <w:r>
                <w:rPr>
                  <w:rStyle w:val="InternetLink"/>
                  <w:rFonts w:ascii="Times New Roman;serif" w:hAnsi="Times New Roman;serif"/>
                  <w:b w:val="false"/>
                  <w:color w:val="0000FF"/>
                  <w:sz w:val="20"/>
                  <w:u w:val="single"/>
                </w:rPr>
                <w:t>111</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84">
              <w:r>
                <w:rPr>
                  <w:rStyle w:val="InternetLink"/>
                  <w:rFonts w:ascii="Times New Roman;serif" w:hAnsi="Times New Roman;serif"/>
                  <w:b w:val="false"/>
                  <w:color w:val="0000FF"/>
                  <w:sz w:val="20"/>
                  <w:u w:val="single"/>
                </w:rPr>
                <w:t>Executive Compensation</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84">
              <w:r>
                <w:rPr>
                  <w:rStyle w:val="InternetLink"/>
                  <w:rFonts w:ascii="Times New Roman;serif" w:hAnsi="Times New Roman;serif"/>
                  <w:b w:val="false"/>
                  <w:color w:val="0000FF"/>
                  <w:sz w:val="20"/>
                  <w:u w:val="single"/>
                </w:rPr>
                <w:t>111</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8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87">
              <w:r>
                <w:rPr>
                  <w:rStyle w:val="InternetLink"/>
                  <w:rFonts w:ascii="Times New Roman;serif" w:hAnsi="Times New Roman;serif"/>
                  <w:b w:val="false"/>
                  <w:color w:val="0000FF"/>
                  <w:sz w:val="20"/>
                  <w:u w:val="single"/>
                </w:rPr>
                <w:t>111</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90">
              <w:r>
                <w:rPr>
                  <w:rStyle w:val="InternetLink"/>
                  <w:rFonts w:ascii="Times New Roman;serif" w:hAnsi="Times New Roman;serif"/>
                  <w:b w:val="false"/>
                  <w:color w:val="0000FF"/>
                  <w:sz w:val="20"/>
                  <w:u w:val="single"/>
                </w:rPr>
                <w:t>Certain Relationships and Related Transactions, and Director Independence</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90">
              <w:r>
                <w:rPr>
                  <w:rStyle w:val="InternetLink"/>
                  <w:rFonts w:ascii="Times New Roman;serif" w:hAnsi="Times New Roman;serif"/>
                  <w:b w:val="false"/>
                  <w:color w:val="0000FF"/>
                  <w:sz w:val="20"/>
                  <w:u w:val="single"/>
                </w:rPr>
                <w:t>111</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93">
              <w:r>
                <w:rPr>
                  <w:rStyle w:val="InternetLink"/>
                  <w:rFonts w:ascii="Times New Roman;serif" w:hAnsi="Times New Roman;serif"/>
                  <w:b w:val="false"/>
                  <w:color w:val="0000FF"/>
                  <w:sz w:val="20"/>
                  <w:u w:val="single"/>
                </w:rPr>
                <w:t>Principal Accountant Fees and Services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93">
              <w:r>
                <w:rPr>
                  <w:rStyle w:val="InternetLink"/>
                  <w:rFonts w:ascii="Times New Roman;serif" w:hAnsi="Times New Roman;serif"/>
                  <w:b w:val="false"/>
                  <w:color w:val="0000FF"/>
                  <w:sz w:val="20"/>
                  <w:u w:val="single"/>
                </w:rPr>
                <w:t>111</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99">
              <w:r>
                <w:rPr>
                  <w:rStyle w:val="InternetLink"/>
                  <w:rFonts w:ascii="Times New Roman;serif" w:hAnsi="Times New Roman;serif"/>
                  <w:b w:val="false"/>
                  <w:color w:val="0000FF"/>
                  <w:sz w:val="20"/>
                  <w:u w:val="single"/>
                </w:rPr>
                <w:t>Exhibits, Financial Statement Schedules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99">
              <w:r>
                <w:rPr>
                  <w:rStyle w:val="InternetLink"/>
                  <w:rFonts w:ascii="Times New Roman;serif" w:hAnsi="Times New Roman;serif"/>
                  <w:b w:val="false"/>
                  <w:color w:val="0000FF"/>
                  <w:sz w:val="20"/>
                  <w:u w:val="single"/>
                </w:rPr>
                <w:t>112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205">
              <w:r>
                <w:rPr>
                  <w:rStyle w:val="InternetLink"/>
                  <w:rFonts w:ascii="Times New Roman;serif" w:hAnsi="Times New Roman;serif"/>
                  <w:b w:val="false"/>
                  <w:color w:val="0000FF"/>
                  <w:sz w:val="20"/>
                  <w:u w:val="single"/>
                </w:rPr>
                <w:t>Form 10-K Summary</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205">
              <w:r>
                <w:rPr>
                  <w:rStyle w:val="InternetLink"/>
                  <w:rFonts w:ascii="Times New Roman;serif" w:hAnsi="Times New Roman;serif"/>
                  <w:b w:val="false"/>
                  <w:color w:val="0000FF"/>
                  <w:sz w:val="20"/>
                  <w:u w:val="single"/>
                </w:rPr>
                <w:t>116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users and convert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security breaches and our liability or other potential legal, regulatory, or reputational consequences of any unauthorized access to our data or our customer data;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expectations regarding the potential impacts of permanent global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retain, integrate, and manage key and other highly qualified personnel, including as a result of our Virtual First work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expectations regarding general economic, political, and market trends and their respective impacts on our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Acquisitions of companies and assets, including our ability to successfully integrate and realize the anticipated benefits of such acquisitions.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Annual Report on Form 10-K.</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95"/>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on our ability to attract and retain users, convert users to paying users and upgrade paying users, and any decline in acquisitions,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with a Virtual First workforce and the long-term impact of this model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Servicing our indebtedness under our term loan facility, 2026 Notes and 2028 Notes (as defined below) may require a significant amount of cash, and we may not have sufficient cash flow or the ability to raise the funds necessary to satisfy our obligations under the term loan facility, 2026 Notes, or 2028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 xml:space="preserve">PART 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BUSINESS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Dropbox, Inc. (the “Company”, “we”, or “us”) is the one place to keep life organized and keep work moving.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were founded in 2007 with a simple idea: Life would be a lot better if everyone could access their most important information anytime from any device. We’ve largely accomplished that mission by building tools to help people work from anywhere—and along the way we recognized that for most of our users, sharing and collaborating on the Dropbox, Inc. platform (“Dropbox”) was even more valuable than storing files.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market opportunity grew as we’ve expanded from keeping files in sync to keeping teams in sync. Today, we are focused on reimagining the way work gets done by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By solving these universal problems, we’ve become invaluable to our users. The popularity of our platform allows us to scale efficiently. We’ve built a thriving global business with 18.08 million paying users as of December 31, 2025.</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What Sets Us Apart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Simple and intuitive design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Open ecosystem</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(now part of Salesforce), BetterCloud, Atlassian, Google and a variety of productivity, collaboration, data management, and security vendors.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Viral, bottom-up adoption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Performance and security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pStyle w:val="TextBody"/>
        <w:bidi w:val="0"/>
        <w:spacing w:before="120" w:after="283"/>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Solution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Dropbox allows individuals, teams, and organizations to collaborate more effectively and focus on the work that matters. Anyone can sign up for free through our website or app, and upgrade to a paid subscription plan for premium features.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customers include individuals, families, teams, and organizations of all sizes, from freelancers and small businesses to Fortune 100 companies. They work across a wide range of industries, including professional services, technology, media, education, industrial,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Key elements of our platform</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Unified home for content.</w:t>
      </w:r>
      <w:r>
        <w:rPr>
          <w:color w:val="000000"/>
        </w:rPr>
        <w:t xml:space="preserve"> </w:t>
      </w:r>
      <w:r>
        <w:rPr>
          <w:rFonts w:ascii="Times New Roman;serif" w:hAnsi="Times New Roman;serif"/>
          <w:b w:val="false"/>
          <w:color w:val="000000"/>
          <w:sz w:val="20"/>
        </w:rPr>
        <w:t>We provide a unified home for the world’s content and the relevant context around it. To date, our users have added hundreds 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Global sharing network.</w:t>
      </w:r>
      <w:r>
        <w:rPr>
          <w:color w:val="000000"/>
        </w:rPr>
        <w:t xml:space="preserve"> </w:t>
      </w:r>
      <w:r>
        <w:rPr>
          <w:rFonts w:ascii="Times New Roman;serif" w:hAnsi="Times New Roman;serif"/>
          <w:b w:val="false"/>
          <w:color w:val="000000"/>
          <w:sz w:val="20"/>
        </w:rPr>
        <w:t>We’ve built one of the largest collaboration platforms in the world. We cater to the needs of dynamic, dispersed teams. The overwhelming majority of our customers use Dropbox to share and collaborate. More users benefit from frictionless sharing, and powerful network effects increase the utility and stickiness of our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Product experiences and integrations. </w:t>
      </w:r>
      <w:r>
        <w:rPr>
          <w:rFonts w:ascii="Times New Roman;serif" w:hAnsi="Times New Roman;serif"/>
          <w:b w:val="false"/>
          <w:color w:val="000000"/>
          <w:sz w:val="20"/>
        </w:rPr>
        <w:t>The insights we glean from our community of users and our deep integrations with best-of-breed companies lead us to develop or acquire new product experiences and extend the capabilities of our platform. Products like Dropbox Backup, Dropbox Sign, DocSend, Dropbox Dash ("Dash"), Dropbox Replay, Dropbox Transfer, and Reclaim.ai, Inc. ("Reclaim") and deep integrations with companies like Microsoft, Zoom, Atlassian, Slack (now part of Salesforce), BetterCloud and Google help us provide our users with the functionality they need to do their best work. Machine learning further improves the user experience by enabling more intelligent search, better organization, and utility of information. We have also made investments in developing products that incorporate artificial intelligence ("AI") technologies, further expanding the value of our platform and deepening user engagement. Additionally, our strategic partnerships with AI-focused companies strengthen our ability to drive AI-powered innovation and reimagine digital collaboration.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Capabilities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Create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Paper</w:t>
      </w:r>
      <w:r>
        <w:rPr>
          <w:rFonts w:ascii="Times New Roman;serif" w:hAnsi="Times New Roman;serif"/>
          <w:b w:val="false"/>
          <w:color w:val="000000"/>
          <w:sz w:val="20"/>
        </w:rPr>
        <w:t>. With Dropbox Paper, users can co-author content, tag others, create timelines, assign tasks with due dates, embed and comment on files, tables, checklists, code snippets, and rich media—all in real-time. We designed Paper to be simple and beautiful so users can focus on the most important ideas and tasks at hand.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Doc scanner</w:t>
      </w:r>
      <w:r>
        <w:rPr>
          <w:rFonts w:ascii="Times New Roman;serif" w:hAnsi="Times New Roman;serif"/>
          <w:b w:val="false"/>
          <w:color w:val="000000"/>
          <w:sz w:val="20"/>
        </w:rPr>
        <w:t>. The doc scanner in our mobile app lets users create content in Dropbox from hard copies. This includes transforming everything from 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Access and organize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Search</w:t>
      </w:r>
      <w:r>
        <w:rPr>
          <w:rFonts w:ascii="Times New Roman;serif" w:hAnsi="Times New Roman;serif"/>
          <w:b w:val="false"/>
          <w:color w:val="000000"/>
          <w:sz w:val="20"/>
        </w:rPr>
        <w:t>. Dropbox has powerful search capabilities that allow users to quickly find the files and folders they need. Our autocomplete technology surfaces and prioritizes content based on users’ previous activity. For Dropbox Plus, Professional, and Business users, full text search allows users to scan the entire content of their files.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Rich previews</w:t>
      </w:r>
      <w:r>
        <w:rPr>
          <w:rFonts w:ascii="Times New Roman;serif" w:hAnsi="Times New Roman;serif"/>
          <w:b w:val="false"/>
          <w:color w:val="000000"/>
          <w:sz w:val="20"/>
        </w:rPr>
        <w:t>. Rich previews allow users to easily interact with files across any device without having to open different applications. Users can comment on, annotate, review, and present files, and see who viewed and edited them. We support previews of over 300 file types, and Dropbox users currently preview files tens of millions of times every day.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Version history</w:t>
      </w:r>
      <w:r>
        <w:rPr>
          <w:rFonts w:ascii="Times New Roman;serif" w:hAnsi="Times New Roman;serif"/>
          <w:b w:val="false"/>
          <w:color w:val="000000"/>
          <w:sz w:val="20"/>
        </w:rPr>
        <w:t>. As paying users work on files, our servers keep snapshots of all their changes. Users can see a file’s complete version history to reference and retrieve older versions, with version histories retained for up to 365 days for paying users, depending on the users’ subscription.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Third-party ecosystem</w:t>
      </w:r>
      <w:r>
        <w:rPr>
          <w:rFonts w:ascii="Times New Roman;serif" w:hAnsi="Times New Roman;serif"/>
          <w:b w:val="false"/>
          <w:color w:val="000000"/>
          <w:sz w:val="20"/>
        </w:rPr>
        <w:t>. Our open and thriving ecosystem fosters deeper relationships with our users and developers. Developers can build applications 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2025, Dropbox received over 75 billion API calls per month and just over 1,000,000 developers had registered and built applications on our platform. In addition, more than 80% of Dropbox Business teams have linked to one or more third-party applications.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 xml:space="preserve">Rewind. </w:t>
      </w:r>
      <w:r>
        <w:rPr>
          <w:rFonts w:ascii="Times New Roman;serif" w:hAnsi="Times New Roman;serif"/>
          <w:b w:val="false"/>
          <w:color w:val="000000"/>
          <w:sz w:val="20"/>
        </w:rPr>
        <w:t>Dropbox Rewind is a tool that lets a user take a folder, or their entire account, back to a specific point in time. The tool uses version history to undo changes made to files and folders, and can recover any file edits or deletions up to the last 365 days, depending on the users’ subscription.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 xml:space="preserve">Dropbox Backup. </w:t>
      </w:r>
      <w:r>
        <w:rPr>
          <w:rFonts w:ascii="Times New Roman;serif" w:hAnsi="Times New Roman;serif"/>
          <w:b w:val="false"/>
          <w:color w:val="000000"/>
          <w:sz w:val="20"/>
        </w:rPr>
        <w:t xml:space="preserve">Dropbox Backup automatically syncs folders on a user's computer to the cloud. When turned on, files on the user's PC or Mac are continuously backed up on the cloud. Any changes made in synced folders are automatically updated in the Dropbox account and on the hard drive. Dropbox Backup allows users to get up-to-date versions of files stored on the user's PC or Mac from anywhere and from any device instantly. Content is secure in the cloud, no matter what happens to the user's computer.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Dash</w:t>
      </w:r>
      <w:r>
        <w:rPr>
          <w:rFonts w:ascii="Times New Roman;serif" w:hAnsi="Times New Roman;serif"/>
          <w:b w:val="false"/>
          <w:color w:val="000000"/>
          <w:sz w:val="20"/>
        </w:rPr>
        <w:t>. Dropbox Dash is an AI-powered, universal search tool that enables teams to find, organize, share, and manage content across Dropbox and other connected third-party applications from a single interface. Dash uses AI to surface relevant results and insights across connected content while respecting existing permissions and security controls.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Reclaim</w:t>
      </w:r>
      <w:r>
        <w:rPr>
          <w:rFonts w:ascii="Times New Roman;serif" w:hAnsi="Times New Roman;serif"/>
          <w:b w:val="false"/>
          <w:color w:val="000000"/>
          <w:sz w:val="20"/>
        </w:rPr>
        <w:t xml:space="preserve">. Reclaim is an AI-powered scheduling tool that helps companies prioritize tasks and coordinate schedules with a calendar app.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Share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Folders</w:t>
      </w:r>
      <w:r>
        <w:rPr>
          <w:rFonts w:ascii="Times New Roman;serif" w:hAnsi="Times New Roman;serif"/>
          <w:b w:val="false"/>
          <w:color w:val="000000"/>
          <w:sz w:val="20"/>
        </w:rPr>
        <w:t>. There are three types of folders in Dropbox: private, shared, and team folders. A private folder allows an individual to sync files between devices. A shared folder allows users to quickly and easily start a project space for group collaboration. A team folder, which is only available for Dropbox Business teams, is a central, administrator-managed hub where they can store and collaborate on content.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Shared links</w:t>
      </w:r>
      <w:r>
        <w:rPr>
          <w:rFonts w:ascii="Times New Roman;serif" w:hAnsi="Times New Roman;serif"/>
          <w:b w:val="false"/>
          <w:color w:val="000000"/>
          <w:sz w:val="20"/>
        </w:rPr>
        <w:t>. Users can share files and folders with anyone, including non-Dropbox users, by creating a Dropbox link. Once created, the link can be sent through email, text, Meta, X,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 xml:space="preserve">Transfer. </w:t>
      </w:r>
      <w:r>
        <w:rPr>
          <w:rFonts w:ascii="Times New Roman;serif" w:hAnsi="Times New Roman;serif"/>
          <w:b w:val="false"/>
          <w:color w:val="000000"/>
          <w:sz w:val="20"/>
        </w:rPr>
        <w:t>Dropbox Transfer gives users a quick and secure way to send large files or collections of files to anyone. With Transfer, users can send up to 100 GB of files in just a few clicks, depending on the users’ subscription.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File requests</w:t>
      </w:r>
      <w:r>
        <w:rPr>
          <w:rFonts w:ascii="Times New Roman;serif" w:hAnsi="Times New Roman;serif"/>
          <w:b w:val="false"/>
          <w:color w:val="000000"/>
          <w:sz w:val="20"/>
        </w:rPr>
        <w:t>. With file requests, users can invite anyone to submit files into a specified Dropbox folder through a simple link—regardless of whether the recipient has a Dropbox account. File requests are ideal for tasks such as collecting bids from contractors or requesting submissions from coworkers and clients. All submitted files are organized into a Dropbox folder that’s private to the requesting user.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 xml:space="preserve">Watermarking. </w:t>
      </w:r>
      <w:r>
        <w:rPr>
          <w:rFonts w:ascii="Times New Roman;serif" w:hAnsi="Times New Roman;serif"/>
          <w:b w:val="false"/>
          <w:color w:val="000000"/>
          <w:sz w:val="20"/>
        </w:rPr>
        <w:t xml:space="preserve">Our Dropbox watermarking feature allows users to protect and share digital files quickly and easily. The watermark feature can be used to protect graphic designs, confidential contracts, and personal photographs. Users can create their own custom watermark and watermark any file without leaving Dropbox.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 xml:space="preserve">DocSend. </w:t>
      </w:r>
      <w:r>
        <w:rPr>
          <w:rFonts w:ascii="Times New Roman;serif" w:hAnsi="Times New Roman;serif"/>
          <w:b w:val="false"/>
          <w:color w:val="000000"/>
          <w:sz w:val="20"/>
        </w:rPr>
        <w:t xml:space="preserve">DocSend is a secure document sharing and analytics platform that gives customers visibility into what happens to their documents after they send them. DocSend technology enables customers to track who opens their documents and how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much time they spend on each page, protect documents with security features like email verification and viewer whitelisting, and share multiple documents with a single link.</w:t>
      </w:r>
    </w:p>
    <w:p>
      <w:pPr>
        <w:pStyle w:val="TextBody"/>
        <w:bidi w:val="0"/>
        <w:spacing w:before="0" w:after="0"/>
        <w:ind w:left="0" w:right="0" w:firstLine="540"/>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Collaborate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Comments and annotations</w:t>
      </w:r>
      <w:r>
        <w:rPr>
          <w:rFonts w:ascii="Times New Roman;serif" w:hAnsi="Times New Roman;serif"/>
          <w:b w:val="false"/>
          <w:color w:val="000000"/>
          <w:sz w:val="20"/>
        </w:rPr>
        <w:t>. Dropbox comments and annotations marry content with the conversations and relevant context around it. Instead of being scattered across separate silos, such as email and chat, the editing and development of content are tied to a file. Users can give feedback on specific parts of files through a rich, innovative overlay on our web and mobile platforms.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File activity stream.</w:t>
      </w:r>
      <w:r>
        <w:rPr>
          <w:color w:val="000000"/>
        </w:rPr>
        <w:t xml:space="preserve"> </w:t>
      </w:r>
      <w:r>
        <w:rPr>
          <w:rFonts w:ascii="Times New Roman;serif" w:hAnsi="Times New Roman;serif"/>
          <w:b w:val="false"/>
          <w:color w:val="000000"/>
          <w:sz w:val="20"/>
        </w:rPr>
        <w:t>An activity feed lives next to every file preview on our web interface and in the desktop app, telling users what’s happening with a file. The feed shows when someone opens a file, edits a file, or shares a file.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Notifications</w:t>
      </w:r>
      <w:r>
        <w:rPr>
          <w:rFonts w:ascii="Times New Roman;serif" w:hAnsi="Times New Roman;serif"/>
          <w:b w:val="false"/>
          <w:color w:val="000000"/>
          <w:sz w:val="20"/>
        </w:rPr>
        <w:t xml:space="preserve">. We use real-time notifications across all our channels—web, desktop, email, and mobile—to keep users up-to-date on what’s happening with their work. Users can choose to be notified when someone opens, edits, shares, or comments on a file, or adds a file to their shared folders.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Viewer information and presence</w:t>
      </w:r>
      <w:r>
        <w:rPr>
          <w:rFonts w:ascii="Times New Roman;serif" w:hAnsi="Times New Roman;serif"/>
          <w:b w:val="false"/>
          <w:color w:val="000000"/>
          <w:sz w:val="20"/>
        </w:rPr>
        <w:t>. On both file previews and Paper docs, Dropbox shows users in real-time who’s viewing a doc and when a doc was 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 xml:space="preserve">Dropbox Sign. </w:t>
      </w:r>
      <w:r>
        <w:rPr>
          <w:rFonts w:ascii="Times New Roman;serif" w:hAnsi="Times New Roman;serif"/>
          <w:b w:val="false"/>
          <w:color w:val="000000"/>
          <w:sz w:val="20"/>
        </w:rPr>
        <w:t>Dropbox</w:t>
      </w:r>
      <w:r>
        <w:rPr>
          <w:color w:val="000000"/>
        </w:rPr>
        <w:t xml:space="preserve"> </w:t>
      </w:r>
      <w:r>
        <w:rPr>
          <w:rFonts w:ascii="Times New Roman;serif" w:hAnsi="Times New Roman;serif"/>
          <w:b w:val="false"/>
          <w:color w:val="000000"/>
          <w:sz w:val="20"/>
        </w:rPr>
        <w:t>Sign is an eSignature and document workflow platform that enables customers to easily sign, send, and receive documents through its intuitive web and mobile based interfaces. Once documents are signed, copies automatically sync to the user's Dropbox account.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 xml:space="preserve">FormSwift. </w:t>
      </w:r>
      <w:r>
        <w:rPr>
          <w:rFonts w:ascii="Times New Roman;serif" w:hAnsi="Times New Roman;serif"/>
          <w:b w:val="false"/>
          <w:color w:val="000000"/>
          <w:sz w:val="20"/>
        </w:rPr>
        <w:t>FormSwift is a cloud-based service that gives individuals and businesses a simple solution to create, complete, edit, and save critical business forms and agreements.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Secure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Security protections.</w:t>
      </w:r>
      <w:r>
        <w:rPr>
          <w:color w:val="000000"/>
        </w:rPr>
        <w:t xml:space="preserve"> </w:t>
      </w:r>
      <w:r>
        <w:rPr>
          <w:rFonts w:ascii="Times New Roman;serif" w:hAnsi="Times New Roman;serif"/>
          <w:b w:val="false"/>
          <w:color w:val="000000"/>
          <w:sz w:val="20"/>
        </w:rPr>
        <w:t>We employ strong protections for all of the data on our platform.</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Encryption</w:t>
      </w:r>
      <w:r>
        <w:rPr>
          <w:rFonts w:ascii="Times New Roman;serif" w:hAnsi="Times New Roman;serif"/>
          <w:b w:val="false"/>
          <w:color w:val="000000"/>
          <w:sz w:val="20"/>
        </w:rPr>
        <w:t>. Dropbox file data at rest is encrypted using 256-bit Advanced Encryption Standard, or AES. To protect data in transit between Dropbox apps such as desktop, mobile, API, or web and our servers, Dropbox uses Secure Sockets Layer, or SSL, and Transport Layer Security, or TLS, for data transfer, creating a secure tunnel protected by 128-bit or higher AES encryption.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File recovery</w:t>
      </w:r>
      <w:r>
        <w:rPr>
          <w:rFonts w:ascii="Times New Roman;serif" w:hAnsi="Times New Roman;serif"/>
          <w:b w:val="false"/>
          <w:color w:val="000000"/>
          <w:sz w:val="20"/>
        </w:rPr>
        <w:t>. Every deletion event in Dropbox is recorded, including when groups of files are deleted. Users can easily recover files through our web interface. Dropbox Plus subscribers may recover prior versions for up to 30 days after deletion, and Dropbox Professional and Dropbox Business subscribers may recover prior versions for up to 180 days after deletion.</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Administrator controls</w:t>
      </w:r>
      <w:r>
        <w:rPr>
          <w:rFonts w:ascii="Times New Roman;serif" w:hAnsi="Times New Roman;serif"/>
          <w:b w:val="false"/>
          <w:color w:val="000000"/>
          <w:sz w:val="20"/>
        </w:rPr>
        <w:t xml:space="preserve">. Dropbox Business team administrators have many ways to customize security settings in both global and granular ways, including real-time detections of suspicious behavior, risky activity, and potential data leaks.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Sharing permissions</w:t>
      </w:r>
      <w:r>
        <w:rPr>
          <w:rFonts w:ascii="Times New Roman;serif" w:hAnsi="Times New Roman;serif"/>
          <w:b w:val="false"/>
          <w:color w:val="000000"/>
          <w:sz w:val="20"/>
        </w:rPr>
        <w:t>: Team administrators can set up and monitor how their members share team folders, and can set sharing permissions on all folders, sub-folders, and links through the sharing tab.</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Remote device wipe</w:t>
      </w:r>
      <w:r>
        <w:rPr>
          <w:rFonts w:ascii="Times New Roman;serif" w:hAnsi="Times New Roman;serif"/>
          <w:b w:val="false"/>
          <w:color w:val="000000"/>
          <w:sz w:val="20"/>
        </w:rPr>
        <w:t>: Team administrators can delete their organization’s Dropbox content from a member’s linked devices, which is especially useful should someone lose a device or leave the team.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Audit log</w:t>
      </w:r>
      <w:r>
        <w:rPr>
          <w:rFonts w:ascii="Times New Roman;serif" w:hAnsi="Times New Roman;serif"/>
          <w:b w:val="false"/>
          <w:color w:val="000000"/>
          <w:sz w:val="20"/>
        </w:rPr>
        <w:t>: Team administrators can monitor which members are sharing files and logging into Dropbox, among other events. They can review activity logs, create full reports for specific time ranges, and pull activity reports on specific members. Advanced and Enterprise team administrators have access to audit logs with file-event tracking.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Device approvals</w:t>
      </w:r>
      <w:r>
        <w:rPr>
          <w:rFonts w:ascii="Times New Roman;serif" w:hAnsi="Times New Roman;serif"/>
          <w:b w:val="false"/>
          <w:color w:val="000000"/>
          <w:sz w:val="20"/>
        </w:rPr>
        <w:t>: Advanced and Enterprise team administrators can manage how members access Dropbox on their devices.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Tiered administrator roles</w:t>
      </w:r>
      <w:r>
        <w:rPr>
          <w:rFonts w:ascii="Times New Roman;serif" w:hAnsi="Times New Roman;serif"/>
          <w:b w:val="false"/>
          <w:color w:val="000000"/>
          <w:sz w:val="20"/>
        </w:rPr>
        <w:t>: Advanced and Enterprise teams have the ability to set multiple administrator roles, each with a different set of permissions.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Network control</w:t>
      </w:r>
      <w:r>
        <w:rPr>
          <w:rFonts w:ascii="Times New Roman;serif" w:hAnsi="Times New Roman;serif"/>
          <w:b w:val="false"/>
          <w:color w:val="000000"/>
          <w:sz w:val="20"/>
        </w:rPr>
        <w:t>: Enterprise team administrators can restrict personal Dropbox usage on their organization’s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95"/>
        <w:jc w:val="left"/>
        <w:rPr/>
      </w:pPr>
      <w:r>
        <w:rPr>
          <w:rFonts w:ascii="Times New Roman;serif" w:hAnsi="Times New Roman;serif"/>
          <w:b w:val="false"/>
          <w:i/>
          <w:color w:val="000000"/>
          <w:sz w:val="20"/>
        </w:rPr>
        <w:t>Third-party security integrations</w:t>
      </w:r>
      <w:r>
        <w:rPr>
          <w:rFonts w:ascii="Times New Roman;serif" w:hAnsi="Times New Roman;serif"/>
          <w:b w:val="false"/>
          <w:color w:val="000000"/>
          <w:sz w:val="20"/>
        </w:rPr>
        <w:t>. We’ve partnered with industry-leading third parties to enable us to provide a wide range of IT processes and satisfy industry compliance standards, including: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Security information and event management</w:t>
      </w:r>
      <w:r>
        <w:rPr>
          <w:rFonts w:ascii="Times New Roman;serif" w:hAnsi="Times New Roman;serif"/>
          <w:b w:val="false"/>
          <w:color w:val="000000"/>
          <w:sz w:val="20"/>
        </w:rPr>
        <w:t>: Allows Dropbox Business administrators to oversee and manage employee activity, and access sensitive data through the administrator page.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Data loss prevention</w:t>
      </w:r>
      <w:r>
        <w:rPr>
          <w:rFonts w:ascii="Times New Roman;serif" w:hAnsi="Times New Roman;serif"/>
          <w:b w:val="false"/>
          <w:color w:val="000000"/>
          <w:sz w:val="20"/>
        </w:rPr>
        <w:t>: Protects sensitive data like personally identifiable information and payment card industry data stored in Dropbox Business accounts.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eDiscovery and legal hold</w:t>
      </w:r>
      <w:r>
        <w:rPr>
          <w:rFonts w:ascii="Times New Roman;serif" w:hAnsi="Times New Roman;serif"/>
          <w:b w:val="false"/>
          <w:color w:val="000000"/>
          <w:sz w:val="20"/>
        </w:rPr>
        <w:t>: Enables secure search and the ability to collect and preserve electronically stored information in Dropbox Business accounts.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Digital rights management</w:t>
      </w:r>
      <w:r>
        <w:rPr>
          <w:rFonts w:ascii="Times New Roman;serif" w:hAnsi="Times New Roman;serif"/>
          <w:b w:val="false"/>
          <w:color w:val="000000"/>
          <w:sz w:val="20"/>
        </w:rPr>
        <w:t>: Provides third-party encryption for company data stored in Dropbox Business accounts.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Data migration and on-premises backup</w:t>
      </w:r>
      <w:r>
        <w:rPr>
          <w:rFonts w:ascii="Times New Roman;serif" w:hAnsi="Times New Roman;serif"/>
          <w:b w:val="false"/>
          <w:color w:val="000000"/>
          <w:sz w:val="20"/>
        </w:rPr>
        <w:t>: Assists in transferring large amounts of data between locations and securing sensitive information with on-site data backup.</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Identity management</w:t>
      </w:r>
      <w:r>
        <w:rPr>
          <w:rFonts w:ascii="Times New Roman;serif" w:hAnsi="Times New Roman;serif"/>
          <w:b w:val="false"/>
          <w:color w:val="000000"/>
          <w:sz w:val="20"/>
        </w:rPr>
        <w:t>: Allows companies to keep their Dropbox Business team authenticated with an external identity provider like Active Directory.</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Subscription Plans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offer a range of subscription plans for our users, including a free, Basic plan, paid Personal plans, and Business plans.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We’ve built a thriving global business with 18.08 million paying users. As of December 31, 2025, we had approximately 575,000 paying Dropbox Business teams. Our customer base is highly diversified, and in 2025, 2024, and 2023,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How we support our customers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of our users can access support through the following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Help center</w:t>
      </w:r>
      <w:r>
        <w:rPr>
          <w:rFonts w:ascii="Times New Roman;serif" w:hAnsi="Times New Roman;serif"/>
          <w:b w:val="false"/>
          <w:color w:val="000000"/>
          <w:sz w:val="20"/>
        </w:rPr>
        <w:t>: Provides an online repository of helpful information about our platform, responses to frequently asked questions, and best practices for use.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Community support</w:t>
      </w:r>
      <w:r>
        <w:rPr>
          <w:rFonts w:ascii="Times New Roman;serif" w:hAnsi="Times New Roman;serif"/>
          <w:b w:val="false"/>
          <w:color w:val="000000"/>
          <w:sz w:val="20"/>
        </w:rPr>
        <w:t>: Facilitates collaboration between users on answers, solutions, and ideas about our platform in an online community.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Social media support</w:t>
      </w:r>
      <w:r>
        <w:rPr>
          <w:rFonts w:ascii="Times New Roman;serif" w:hAnsi="Times New Roman;serif"/>
          <w:b w:val="false"/>
          <w:color w:val="000000"/>
          <w:sz w:val="20"/>
        </w:rPr>
        <w:t>: Provides users real-time product and service updates, and offers tips and troubleshooting information.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Guided troubleshooting</w:t>
      </w:r>
      <w:r>
        <w:rPr>
          <w:rFonts w:ascii="Times New Roman;serif" w:hAnsi="Times New Roman;serif"/>
          <w:b w:val="false"/>
          <w:color w:val="000000"/>
          <w:sz w:val="20"/>
        </w:rPr>
        <w:t>: Offers step-by-step instructions to resolve common questions and provides a portal to submit help requests for questions that aren’t otherwise addressed.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offer additional levels of support for our paying users depending on the subscription plan they choose.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Sales and Marketing Approach</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users share content and collaborate on our platform, they introduce and invite new users, driving growth. We generate over 90% of our revenue from self-serve channels, which limits customer acquisition costs.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We’ve developed an efficient marketing function that’s focused on building brand awareness and reinforcing our self-serve model.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goal is to rapidly demonstrate the value of our platform to our users in order to convert them to paying users and upgrade them to our premium offerings. This includes introducing capabilities such as Dropbox Dash, our AI-powered universal search tool, which enables users to find, organize, share, and manage content across Dropbox and other connected third-party applications from a single interface. We reach them through in-product prompts and notifications, time-limited trials of paid subscription plans, email, and lifecycle marketing. Each year, hundreds of millions of devices—including computers,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phones, and tablets—are actively connected to the Dropbox platform, representing a large number of touchpoints to communicate with our users. We complement our self-serve strategy with targeted outbound sales to pursue organizations best suited to our product.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Once prospects are identified, our sales team works to broaden adoption of our platform into wider-scale deployments. We also acquire some users through paid marketing and distribution partnerships in which hardware manufacturers pre-install our software on their devices.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Technology Infrastructure and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Oregon, Texas, Virginia, Paris and Hamburg.</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also utilize Amazon Web Services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 </w:t>
      </w:r>
    </w:p>
    <w:p>
      <w:pPr>
        <w:pStyle w:val="TextBody"/>
        <w:bidi w:val="0"/>
        <w:spacing w:before="0" w:after="0"/>
        <w:ind w:left="0" w:right="0" w:firstLine="495"/>
        <w:jc w:val="left"/>
        <w:rPr/>
      </w:pPr>
      <w:r>
        <w:rPr/>
      </w:r>
    </w:p>
    <w:p>
      <w:pPr>
        <w:pStyle w:val="TextBody"/>
        <w:bidi w:val="0"/>
        <w:spacing w:lineRule="auto" w:line="25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make investments in technology both to improve our existing products and services and to develop new ones. We have made, and continue to make, investments in developing products that will incorporate AI, such as Dash.</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Commitment to Security, Privacy and Legal Compliance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Trust is the foundation of our relationship with our users, and we take significant measures every day to protect their privacy and security.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Security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pStyle w:val="TextBody"/>
        <w:bidi w:val="0"/>
        <w:spacing w:lineRule="auto" w:line="288" w:before="24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Privacy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address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pStyle w:val="TextBody"/>
        <w:bidi w:val="0"/>
        <w:spacing w:before="24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Other Government Regulations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also compete with smaller private companies that offer point solutions in the cloud storage market or the content collaboration market.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the principal competitive factors in our markets include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user-centric design;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scale of user network;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brand;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accessibility across several devices, operating systems, and applications;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third-party integration;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continued innovation;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pricing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we compete favorably across these factors,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over 1,900 issued patents and more than 280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2025, we had 2,113 full-time employees. Of our full-time employees, 1,612 were located in the United States and 501 were employees located outside of the United States. None of our employees are represented by a labor union, except to the extent certain employees outside the United States are represented by national trade unions or local works councils. We have not experienced any work stoppages, and we believe that our employee relations are strong.</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Virtual First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Virtual First work model pursuant to which remote work is the primary experience for all of our employees. As a result, we have seen our workforce become more distributed over time. Teams also meet in person several times a year, using repurposed real estate called "Dropbox Studios" or flexible workspaces known as "On-Demand Spaces.” Part of Virtual First includes empowering our employees to adopt flexible working arrangements and providing tools for efficient remote collaboration and continuing to provide opportunities for in-person collaboration at “Dropbox Studios” or “On-Demand Spaces.” Additionally, we provide our employees with a quarterly allowance that can be used to cover expenses related to health and fitness, family and caregiver support, productivity and ergonomics, financial wellness, and learning and development programs, as well as resources to support their effectiveness in their work environments.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Compensation and Benefits Program</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up to a specific threshold, and equity awards which align the interests of our employees with our stockholders. Our competitive benefits package includes medical, dental, vision, life and disability plans. In addition to these core benefits, we also provide enhanced mental health benefits, family formation benefits and our adoption and surrogacy assistance program. Our comprehensive programs also provide various leave benefits - including paid parental leave for all eligible employees.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Employee Wellness and Safety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 the importance of the well-being of our employees. With our Virtual First work model, we remain committed to supporting their wellness and development. A component of our comprehensive health and wellness benefits package to all employees includes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the safety of our employees is paramount to our success. We have a physical security policy applicable to all our employees with a global physical security team that is empowered to protect the safety of our employees in the event of emergencies or disasters.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Learning and Development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want all of our employees to have thriving careers where they grow and develop in meaningful ways. We develop and provide access to internal learning and development resources to assist in professional development in various ways such as skills-building programs, on-demand learning options, mentoring programs, and leadership development courses. We launched an AI Academy with multiple tracks in 2025 to help all Dropboxers learn to use AI responsibly and more proficiently to be more productive in their roles. We also offer extensive onboarding and training programs to prepare our employees at all levels for career progression and individual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Community</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empower our employees to give back to their communities by providing paid volunteer time off, matching a portion of employee donations to nonprofits, and making product donations to nonprofit organizations nominated by our employees.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were incorporated in May 2007 as Evenflow, Inc., a Delaware corporation, and changed our name to Dropbox, Inc. in October 2009. In March 2025, we reincorporated in the state of Nevada. Our principal offices are located at 1800 Owens Street, San Francisco, California, 94158, and our telephone number is (415) 930-7766. Our Class A common stock is listed on the Nasdaq Global Select Market under the symbol “DBX.”</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Risks Related to Our Business and Operations </w:t>
      </w:r>
    </w:p>
    <w:p>
      <w:pPr>
        <w:pStyle w:val="TextBody"/>
        <w:bidi w:val="0"/>
        <w:spacing w:lineRule="auto" w:line="288" w:before="0" w:after="160"/>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The rate of growth of our business and revenue has declined in recent periods and we have experienced negative growth. If we are unable to execute on our new product initiatives and plans for growth in the future, we may be unable to reverse this trend. Our new product </w:t>
      </w:r>
      <w:r>
        <w:rPr>
          <w:rFonts w:ascii="Times New Roman;serif" w:hAnsi="Times New Roman;serif"/>
          <w:b w:val="false"/>
          <w:color w:val="000000"/>
          <w:sz w:val="20"/>
        </w:rPr>
        <w:t>initiatives, including any AI-based initiatives, are intended to result in growth, but such initiatives require a period of investment and ultimately may not succeed on the timelines we expect or at all. If our new products or product enhancements do not achieve adequate adoption by our customers or do not result in increased paid users or subsequent renewals, our competitive position will be impaired or our anticipated revenue growth may not be achieved. Any additional revenue our new initiatives generate may be insufficient to offset the amounts we have invested or the declining rates of growth in other areas of our business and may harm our profitability.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Efforts to grow and expand our business, including the introduction of new features and products, places a continuous significant strain on our management, operational, and financial resources. As we introduce new products and features, including AI features, our information technology systems, organizational structures, and internal controls and procedures may not be adequate to support our operations, particularly to the extent our user base and third-party relationships expand or change as a result of these new products and features. In addition, our challenges may be heightened in connection with our Virtual First work model, as we engage an increasingly distributed employee base in countries around the world, as well as our focus on aligning our resources to create a nimble and streamlined organization. Issues related to Virtual First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return to growth or reaccelerate our growth, we must effectively allocate our resources and if we invest in future growth, or reduce resources allocated to certain products, functions, or strategies,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Our business depends on our ability to attract and retain users, convert users to paying users and upgrade paying users, and any decline in acquisitions,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depends upon our ability to continually add new users and to maintain and expand our relationships with our users. In particular, in order to grow our revenue, we must attract and retain paying users and convert registered users to paying users. Historically, our revenue has been driven by our self-serve model, and we generate more than 90% of our revenue from self-serve channels. Our self-service channel revenue is driven by word-of-mouth referrals, recommendations, and positive brand recognition in the marketplace, among other factors. Any decrease in user satisfaction with our products or support could harm our brand, word-of-mouth referrals, and ability to grow.</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2025, we served over 700 million registered users but only 18.08 million paying users. The actual number of unique users is lower than we report as one person may register more than once on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we are able to convert a user to a paying user, or attract paying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have declined and our number of paying users may continue to fluctuate or decline in any period or over time. Paying users may downgrade or not renew their subscriptions because of several factors, such as dissatisfaction with our products, support, pricing, mix of features (including data storage limits), or user experience, a user no longer having a need for our products, as a result of impacts from our decisions regarding marketing spend and investment focus, the availability of competitive products, including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focused on increasing recurring revenue and we believe that users that subscribe to our premium paid offerings demonstrate a propensity to retain and expand their deployments over time. If we are unable to increase our paying user growth rates or to offset declines in the number of new paying users with increased revenue per paying user, our revenue and operating results will be adversely affected.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has from time to time negatively impacted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Furthermore, macroeconomic changes or other factors resulting in our customers reducing their number of seat licenses over time, including as a result of increased adoption of AI tools, could negatively impact our business and financial results.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contractors and other individuals (some of whom our intelligence indicates are supported by nation states) have in the past gained, and in the future may gain, access to our systems. This risk may increase when vendors and contractors work remotely, including as part of our Virtual First work model. Additionally, unapproved internal AI product usage or human error in the product development process each have the potential to result in disclosure of user or company content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datacenters that we use are vulnerable to damage or interruption from human error, technical defects,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user-centric design;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scale of user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accessibility across several devices, operating systems, and applications;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third-party integration;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innovation;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Failure to respond to rapid technological changes, extend our platform, or develop new features or products may harm our ability to compete effectively, which would adversely affect our business</w:t>
      </w:r>
      <w:r>
        <w:rPr>
          <w:rFonts w:ascii="Times New Roman;serif" w:hAnsi="Times New Roman;serif"/>
          <w:b/>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In particular, we have made, and intend to continue making, significant investments in developing products that will incorporate AI. While we believe that such new products have the potential to drive future growth of our business, the development of such new features will require us to incur significant costs, and may adversely affect our gross margins, and there is no guarantee that these new product offerings will ultimately be adopted by users, achieve product-market fit, result in additional revenue or otherwise generate our desired return on investment. Additionally, use of newly-developed AI technology could result in reputational harm, operational risks, or legal liability.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as compared to a fully in-office model. The risk of such disruptions and decreased productivity may persist as our workforce operates under a Virtual First work model. We have also in the past experienced delays in our internally planned release dates for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positive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(now part of Salesforce), BetterCloud, Google, IBM, Cisco, VMware, Okta, Symantec, Palo Alto Networks, Zoom, and a variety of other productivity, collaboration, data management, and security vendors. We are dependent on the accessibility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awareness of the content collaboration category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scale, and duration, of trends towards or away from remote or distributed 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For example, Tim Regan stepped down as our Chief Financial Officer in December 2025, and Ross Tennenbaum was subsequently appointed as successor.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work model gives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work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work model.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operate with a Virtual First workforce and the long-term impact of this model on our financial results and business operations remains uncertain</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October 2020, we have operated under a Virtual First work model pursuant to which remote work has become the primary experience for all of our employees and we expect our workforce to remain significantly distributed over the long term.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our Virtual First work model has reduced our need for office space relative to our existing lease commitments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business may be significantly impacted by general economic, political, and market conditions, including any resulting effect on consumer or business spending</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r>
        <w:rPr>
          <w:rFonts w:ascii="Times New Roman;serif" w:hAnsi="Times New Roman;serif"/>
          <w:b w:val="false"/>
          <w:color w:val="000000"/>
          <w:sz w:val="20"/>
        </w:rPr>
        <w:t>.</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Historically, our business model has been driven by organic adoption and viral growth, with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including through the use of third-party customer support partners,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operations outside the United States and our efforts to expand, subject us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paying users across approximately 180 countries and approximately 44% of our revenue in the year ended December 31, 2025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an employee base in jurisdictions that may not give us the same employment and retention flexibility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natural disasters and public health epidemics on employees, travel and the global economy.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adverse changes in third-party service levels at datacenters or any real or </w:t>
      </w:r>
      <w:r>
        <w:rPr>
          <w:rFonts w:ascii="Times New Roman;serif" w:hAnsi="Times New Roman;serif"/>
          <w:b w:val="false"/>
          <w:color w:val="000000"/>
          <w:sz w:val="20"/>
          <w:shd w:fill="FFFFFF" w:val="clear"/>
        </w:rPr>
        <w:t xml:space="preserve">perceived errors, bugs, defects, disruptions, or other performance problems that adversely impact our platform could harm our reputation and may result in damage to, or loss or compromise of, our users’ content. Interruptions in our platform might, among other things, reduce our revenue, cause us to issue refunds to users, subject us to potential liability, harm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reputation, or decrease our renewal rates, and we may not have adequate recourse, or recourse at all, from the datacenter and service provider, which could further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depend on our ecosystem of developers to create applications that will integrate with our platform. As of December 31, 2025, Dropbox received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sell subscriptions to our platform and retain users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a reduction in revenue or delay in market acceptance of our 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issue refunds to our users or expose us to claims for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harm our reputation and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integrating and retaining key employees of acquired businesses and related challenges motivating and retaining our key employees after such acquisition;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offer, price, and support multiple product lines or services offerings of acquired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 of resources that are needed in other parts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may have to pay a substantial portion of our available cash, incur debt, or issue equity securities to pay for any such acquisitions, each of which could affect our financial condition or the value of our capital stock. The issuance of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or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indebtedness, including our 2026 Notes, 2028 Notes and our term loan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it more difficult for us to satisfy our debt obligations, including our term loan facility, the 2026 Notes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 us at a competitive disadvantage compared to our competitors that have less indebtedness or are not subject to restrictive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or otherwise impact the pace and timing of repurchases under our stock repurchase program;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availability to borrow additional funds for working capital, capital expenditures, acquisitions, debt service requirements, execution of our business strategy, or other general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have a material adverse effect on our business,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operations may be interrupted and our business, results of operations, and financial condition could be adversely affected if we default on our leasing or credit obligations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finance a significant portion of our expenditures through leasing arrangements, and we may enter into additional similar arrangements in the future. As of December 31, 2025, we had an aggregate of $1,110.6 million of commitments to settle contractual obligations. In particular, we utilize both finance and operating leases to finance some of our equipment, datacenters and offices. In addition, as of December 31, 2025, we had $1,488.3 million in aggregate principal amount of term loans outstanding under our term loan facility.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any outstanding lease obligations or loans;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the outstanding term loans borrowed under our term loan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term loan facility and exercise rights and remedies against the collateral securing our term loan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pay increased and significant interest,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employees for our engineering, product, and design teams to support these efforts. These investments may not result in increased revenue or growth in our business or our revenue may not grow to the extent we expect and expense growth may outpace revenue. Accordingly, our profitability may fluctuate in certain periods, or we may fail to meet our profitability targets.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in connection with our Virtual First work model,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work model. The long-term benefits of our Virtual First work model may not materialize in the way we expect and any savings may not offset these charges and expenses, which would have an adverse impact on our profitability.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Servicing our indebtedness under our term loan facility, 2026 Notes, and 2028 Notes may require a significant amount of cash, and we may not have sufficient cash flow or the ability to raise the funds necessary to satisfy our obligations under our term loan facility, 2026 Notes, or 2028 Notes.</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shd w:fill="FFFFFF" w:val="clear"/>
        </w:rPr>
        <w:t>Our ability to make scheduled payments of the principal of, to pay interest on or to refinance our indebtedness, including our term loan facility,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The delayed draw features of our term loan facility may also impose additional commitment or unused-facility fees, or prepayment obligations, which will require additional cash outflows.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quarterly results may fluctuate significantly and may not fully reflect the underlying performance of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new paying users and convert registered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and timing of operating expenses, including expenses related to the maintenance and expansion of our business, operations, and infrastructure, hiring, and sales and marketing campaigns, as well as entry into or exit of operating and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catastrophic events, including earthquakes, fires, floods, tsunamis, or other weather events, power loss, telecommunications failures, software or hardware malfunctions, cyber-attacks, wars,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reserves or other non-cash credits or charges, such as the impairment charges as a result of changes in the corporate real estate market which impacted our subleasing strategy in conjunction with our Virtual First work model, and changes to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impacts from our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may not immediately reflect downturns or upturns in sales because we recognize revenue from our users over the term of their subscriptions with us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which are reported in U.S. dollars, could be adversely affected if currency exchange rates fluctuate substantially in the future</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are exposed to the effects of fluctuations in currency exchange rates within our international operations. This exposure is the result of selling in multiple currencies and operating in foreign countries where the functional currency is the local currency. </w:t>
      </w:r>
      <w:r>
        <w:rPr>
          <w:rFonts w:ascii="Times New Roman;serif" w:hAnsi="Times New Roman;serif"/>
          <w:b w:val="false"/>
          <w:color w:val="000000"/>
          <w:sz w:val="20"/>
        </w:rPr>
        <w:t>In 2025, 27%</w:t>
      </w:r>
      <w:r>
        <w:rPr>
          <w:color w:val="000000"/>
          <w:shd w:fill="FFFFFF" w:val="clear"/>
        </w:rPr>
        <w:t xml:space="preserve"> </w:t>
      </w:r>
      <w:r>
        <w:rPr>
          <w:rFonts w:ascii="Times New Roman;serif" w:hAnsi="Times New Roman;serif"/>
          <w:b w:val="false"/>
          <w:color w:val="000000"/>
          <w:sz w:val="20"/>
          <w:shd w:fill="FFFFFF" w:val="clear"/>
        </w:rPr>
        <w:t>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pricing of the 2026 Notes and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ability to use our net operating loss carryforwards and certain other tax attributes may be limited</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had U.S. federal and state and non-U.S. net operating loss carryforwards and U.S. federal and state and non-U.S.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operating results may be harmed if we are required to collect or pay incremental sales, value-added, or other related indirect taxes for our services or in jurisdictions where we have not historically done so</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and financial condition could be materially affected by the enactment of legislation implementing changes in the U.S. or non-U.S. taxation of international business activities or the adoption of other tax reform policies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July 4, 2025, tax legislation commonly known as the One Big Beautiful Bill Act (the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reduced our U.S. cash tax payments in 2025 but increased tax expense, primarily due to limits to the availability of certain credits and deductions resulting from the reinstatement of immediate expensing for U.S. research expenditures. The issuance of future regulatory or accounting guidance related to OBBBA may adversely affect our tax provision.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changes to U.S. or non-U.S. tax laws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i/>
          <w:color w:val="000000"/>
          <w:sz w:val="20"/>
          <w:shd w:fill="FFFFFF" w:val="clear"/>
        </w:rPr>
        <w:t>We have publicly disclosed market opportunity estimates, growth forecasts, and key metrics, including the key metrics included in this Annual Report on Form 10-K, as well as in our other public statements, which could prove to be inaccurate, and any real or perceived inaccuracies may harm our reputation and negatively affect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erif" w:hAnsi="Times New Roman;serif"/>
          <w:b/>
          <w:color w:val="000000"/>
          <w:sz w:val="20"/>
        </w:rPr>
      </w:pPr>
      <w:r>
        <w:rPr>
          <w:rFonts w:ascii="Times New Roman;serif" w:hAnsi="Times New Roman;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compliance with various laws, including those covering copyright, indecent content, child protection, consumer protection, age verification,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i/>
          <w:color w:val="000000"/>
          <w:sz w:val="20"/>
          <w:shd w:fill="FFFFFF" w:val="clear"/>
        </w:rPr>
        <w:t>We are subject to export and import control laws and regulations that could impair our ability to compete in international markets or subject us to liability if we violate such laws and regulations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expect that there will continue to be new laws, regulations, and industry standards concerning privacy, data protection, AI, and information security proposed and enacted in various jurisdictions.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have gone into effect in 2025, and Indiana, Kentucky, and Rhode Island have enacted similar laws that take effect in 2026.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risks that will apply to entities in the financial sector and their third-party cloud service providers.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countries are also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usage-based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materially change their pricing rates or schemes;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try to monetize or control access to their networks.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(the “Motion Offense Litigation”) and Entangled Media (the “Entangled Media Litigation”), each of which have alleged that Dropbox infringes certain of their respective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Motion Offense Litigation, a jury trial was conducted in May 2023. The jury found in favor of Dropbox on all counts including non-infringement and invalidity of the patents and awarded no damages to Motion Offense. In August 2024, the court entered judgment in line with the May 2023 jury verdict. A decision on post-trial briefing is currently pending. The final judgment may be appealed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Entangled Media Litigation, trial is currently set for September 8, 2026. Any final judgment in the district court may be appealed by either party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not possible presently, with respect to either the Motion Offense Litigation or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w:t>
      </w:r>
      <w:r>
        <w:rPr>
          <w:rFonts w:ascii="Times New Roman;serif" w:hAnsi="Times New Roman;serif"/>
          <w:b w:val="false"/>
          <w:color w:val="000000"/>
          <w:sz w:val="20"/>
        </w:rPr>
        <w:t>1,900</w:t>
      </w:r>
      <w:r>
        <w:rPr>
          <w:color w:val="000000"/>
          <w:shd w:fill="FFFFFF" w:val="clear"/>
        </w:rPr>
        <w:t xml:space="preserve"> </w:t>
      </w:r>
      <w:r>
        <w:rPr>
          <w:rFonts w:ascii="Times New Roman;serif" w:hAnsi="Times New Roman;serif"/>
          <w:b w:val="false"/>
          <w:color w:val="000000"/>
          <w:sz w:val="20"/>
          <w:shd w:fill="FFFFFF" w:val="clear"/>
        </w:rPr>
        <w:t xml:space="preserve">issued patents and more than </w:t>
      </w:r>
      <w:r>
        <w:rPr>
          <w:rFonts w:ascii="Times New Roman;serif" w:hAnsi="Times New Roman;serif"/>
          <w:b w:val="false"/>
          <w:color w:val="000000"/>
          <w:sz w:val="20"/>
        </w:rPr>
        <w:t>280</w:t>
      </w:r>
      <w:r>
        <w:rPr>
          <w:color w:val="000000"/>
          <w:shd w:fill="FFFFFF" w:val="clear"/>
        </w:rPr>
        <w:t xml:space="preserve"> </w:t>
      </w:r>
      <w:r>
        <w:rPr>
          <w:rFonts w:ascii="Times New Roman;serif" w:hAnsi="Times New Roman;serif"/>
          <w:b w:val="false"/>
          <w:color w:val="000000"/>
          <w:sz w:val="20"/>
          <w:shd w:fill="FFFFFF" w:val="clear"/>
        </w:rPr>
        <w:t>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time-to-time;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sales or announcements of 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or completed transactions, which may include acquisitions of businesses, products, services, or technologies, financing arrangements, or joint ventures or partnerships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inclusion, exclusion, or deletion of our stock from any trading indices;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cyber-attacks, wars or other armed conflicts,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the past, following periods of volatility in the overall market and the market price of a particular company’s securities, securities class action litigation has often been instituted against these companies. Any securities litigation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The multi-class structure of our common stock has the effect of concentrating voting control with those stockholders who held our capital stock prior to the completion of our IPO, and it may depress the trading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ten votes per share, and our Class C common stock has no voting rights, except as otherwise required by law and subject to any limitations provided in our articles of incorporation. As of December 31, 2025, our directors and executive officers, and their respective affiliates, held in the aggregate 81.4% of the voting power of our capital stock, with Mr. Houston holding approximately 81.4% of the voting power of our capital stock. We are including the Co-Founder Grant (as defined in “Significant Impacts of Stock-Based Compensation” included in Part II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Substantial future sales could depress the market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relating to our 2026 Notes and 2028 Notes may dilute the ownership interest of stockholders, or may otherwise depress the price of our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Beginning December 1, 2025, holders of the 2026 Notes have the right to convert all or any portion of their 2026 Notes at any time prior to the close of business on the second scheduled trading day immediately preceding March 1, 2026, the maturity date of the 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Nevada law and provisions in our articles of incorporation and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status as a Nevada corporation and the anti-takeover provisions of the Nevada Revised Statutes may discourage, delay, or prevent a change in control by prohibiting or restricting us from engaging in a business combination with an interested stockholder for a period of up to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until the Class B common stock, as a class, converts to Class A common stock, any amendments to our articles of incorporation will require the approval of two-thirds of the combined vote of our then-outstanding shares of Class A common stock and Class B common stock, voting as a single class; and certain amendments to our articles of incorporation will require the approval of a majority of the outstanding shares of Class A common stock and Class B common stock, each voting as a separate class;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following the conversion of our Class B common stock, as a class, to Class A common stock, certain amendments to our articles of incorporation will require the approval of two-thirds of the then outstanding voting power of our stockholders, voting as a single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bylaws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after the Voting Threshold Date our stockholders will only be able to take action at a meeting of stockholders, and will not be able to take action by written consent for any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litigation against us may be required to be brought in Nevada;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articles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cannot guarantee that our stock repurchase program will be fully implemented or that it will enhance long-term stockholder value.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initially implemented a stock repurchase program in 2020. In December 2024, the Board of Directors authorized the repurchase of up to an additional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the outstanding shares of our Class A common stock and in August 2025, the Board of Directors authorized the repurchase of up to an additional </w:t>
      </w:r>
      <w:r>
        <w:rPr>
          <w:rFonts w:ascii="Times New Roman;serif" w:hAnsi="Times New Roman;serif"/>
          <w:b w:val="false"/>
          <w:color w:val="000000"/>
          <w:sz w:val="20"/>
        </w:rPr>
        <w:t>$1.5 billion</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have repurchased approximately</w:t>
      </w:r>
      <w:r>
        <w:rPr>
          <w:color w:val="000000"/>
        </w:rPr>
        <w:t xml:space="preserve"> </w:t>
      </w:r>
      <w:r>
        <w:rPr>
          <w:rFonts w:ascii="Times New Roman;serif" w:hAnsi="Times New Roman;serif"/>
          <w:b w:val="false"/>
          <w:color w:val="000000"/>
          <w:sz w:val="20"/>
        </w:rPr>
        <w:t>$5.7 billion of outstanding shares of</w:t>
      </w:r>
      <w:r>
        <w:rPr>
          <w:color w:val="000000"/>
          <w:shd w:fill="FFFFFF" w:val="clear"/>
        </w:rPr>
        <w:t xml:space="preserve"> </w:t>
      </w:r>
      <w:r>
        <w:rPr>
          <w:rFonts w:ascii="Times New Roman;serif" w:hAnsi="Times New Roman;serif"/>
          <w:b w:val="false"/>
          <w:color w:val="000000"/>
          <w:sz w:val="20"/>
          <w:shd w:fill="FFFFFF" w:val="clear"/>
        </w:rPr>
        <w:t>our Class A common stock, including under prior authorizations. The repurchase program does not have an expiration date and we are not obligated to repurchase a specified number or dollar value of shares. Share repurchases are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the United States has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or other distributions for the foreseeable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contains restrictions on our ability to pay dividends.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fire, flood, tsunami, or other weather event, power loss, telecommunications failure, software or hardware malfunctions, cyber-attacks, wars, or terrorist attacks,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routinely under audit by federal, state, local and non-US tax authorities. These audits include questioning the timing and the amount of income and deductions and the allocation of income and deductions among various tax jurisdictions. We believe our tax estimates are reasonable; however, tax authorities may disagree with tax positions we take and if any such tax authority were to successfully challenge any such position, our financial results and operations could be materially and adversely affected. The Internal Revenue Service (IRS) is currently examining our consolidated federal income tax returns for the periods ending December 31, 2022 through December 31, 2024.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compliance costs, make some activities more difficult, time-consuming and costly, and place significant strain on our personnel, systems, and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1B. UNRESOLVED STAFF COMMENTS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importance of assessing, identifying, and managing material risks associated with cybersecurity threats. These risks include, among other things, operational risks; intellectual property theft; fraud; extortion; harm to employees or customers; violation of privacy or security laws and other litigation and legal risk; and reputational risks. We have implemented a variety of cybersecurity processes, technologies, and controls to aid in our efforts to identify, assess and manage such material risks. Our approach includes: (1) an enterprise risk management program, which includes cybersecurity risks and is periodically refreshed; (2) security and privacy reviews designed to identify risks from new features, software, and vendors; (3) a vulnerability management program designed to identify hardware and software vulnerabilities; (4) an internal red team program, which simulates cyber threats, intended to allow us to address vulnerabilities before threat actors identify them; and (5) a threat intelligence program designed to model and research our adversaries. These processes vary in maturity across the business and are processes we work to continually improve.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process for identifying and assessing material risks from cybersecurity threats (our “Cybersecurity Process”) operates alongside our broader overall risk assessment process, covering other risks facing the company. As part of our Cybersecurity Process appropriate disclosure personnel will collaborate with subject matter specialists, as necessary, to gather insights for identifying and assessing material cybersecurity threat risks, their severity, and potential mitigations.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maintain an incident response program to prepare for, detect, respond to, and recover from cybersecurity incidents, which include processes to triage, assess the severity of, escalate, contain, investigate, and remediate identified incidents, as well as to comply with potentially applicable legal obligations and mitigate brand and reputational damage. Further, we conduct periodic tabletop exercises to test and fortify the controls of our cyber incident response program. The incident response team assesses the severity and priority of incidents, with escalations of cybersecurity incidents provided to our management team. If a cybersecurity incident is determined to be a material cybersecurity incident, our incident response plan and cybersecurity disclosure controls and procedures define the process to disclose such a material cybersecurity incident.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approach is supplemented by external and internal management audits against commonly accepted frameworks, including SOC-2 and ISO/IEC 27001, which are designed to test the effectiveness of our security controls. We conduct penetration testing on a periodic basis and have established an external bug bounty program through which security researchers can help identify vulnerabilities in our systems before threat actors do. We also maintain a vendor risk management program designed to identify and mitigate risks associated with third-party suppliers and business partners. This program includes pre-engagement diligence, contractual security and notification provisions, and ongoing monitoring, as appropriate.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have in the past and may continue to experience privacy and data security breaches or incidents” included as part of our risk factor disclosures at Item 1A of this Annual Report on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also established a cross-functional leadership team to oversee our information security and privacy programs and practices, as well as to assess, identify, manage,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Legal Officer, who also serves as our Chief Privacy Officer, our Chief Technology Officer, and our Head of Security. Our Chief Legal Officer and Chief Privacy Officer has held various roles advising Dropbox and two other large publicly-traded technology companies on a variety of privacy, regulatory, and product counseling issues since 2010. Our Chief Technology Officer joined Dropbox in March 2025 and has more than 25 years of experience leading engineering and product functions at top technology companies. Our Head of Security joined Dropbox in 2022 and has more than 25 years of experience in security and intelligence, including a decade in leadership roles across the financial services and technology sectors.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Members of senior leadership are informed about and monitor the prevention, mitigation, detection, and remediation of cybersecurity incidents through their management of, and participation in, the cybersecurity risk management and strategy processes described herein, including the operation of our incident response plan. 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PROPERTIES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San Francisco, California, pursuant to an operating lease that expires in 2033. We lease additional offices in San Francisco and around the world, including in Seattle, Washington and Dublin, Ireland. We have datacenter co-location facilities in Oregon, Texas, Virginia, Paris, and Hamburg. We believe that these facilities are generally suitable to meet our needs.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LEGAL PROCEEDINGS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19, 2019 and July 23, 2021, Motion Offense, LLC (“Motion Offense”) filed patent infringement suits in the Western District of Texas (Waco Division) asserting infringement of a total of six U.S. patents. These lawsuits were consolidated in September 2021 (“the Consolidated Action”). In April 2023, Motion Offense filed a third patent infringement lawsuit involving one U.S. patent, which was not consolidated into the Consolidated Action.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Consolidated Action had a jury trial in May 2023, and the jury found in favor of Dropbox on all counts including non-infringement and invalidity of the patents and awarded no damages to Motion Offense. In August 2024, the court entered judgment in line with the May 2023 verdict. A decision on post-trial briefing is currently pending. The final judgment in the district court may be appealed to the Federal Circuit.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Motion Offense’s third patent infringement suit, the parties filed their initial pleadings but the case is currently stayed pending Dropbox’s Inter Partes Review (“IPR”) of the asserted patent. On June 30 and July 1, 2025, the Patent Trial and Appeal Board issued Final Written Decisions in the IPRs determining the challenged and asserted claims unpatentable. Motion Offense filed an appeal with the Federal Circuit and briefing is pending. Dropbox believes Motion Offense’s allegations in the third lawsuit are similarly without merit and will vigorously defend against them.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December 2022, Entangled Media, LLC filed a patent infringement suit asserting two U.S. patents against Dropbox. The case is currently pending in the Northern District of California (San Jose Division). In August 2025, the court granted-in-part Dropbox’s Motion for Summary Judgment, finding that Dropbox does not infringe one of the asserted patents. One patent remains for trial, which is currently set for September 8, 2026. Dropbox believes it has meritorious defenses and plans to vigorously defend this matter.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remain confident in the Company’s defenses to the asserted allegations in these cases, it is not possible to determine the ultimate outcome at this time, however, we do not believe any potential loss would be material to our financial position or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Market Information for Class A Common Stock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been listed on the Nasdaq Global Market under the symbol "DBX" since March 23, 2018.</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13, 2026, we had 496 holders of record of our Class A common stock, 69 holders of record of our Class B common stock, and no holders of record of our Class C common stock. The actual number of stockholders is greater than this number of record holders and includes stockholders who are beneficial owners, but whose shares are held in street name by brokers and other nominees.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with respect to our repurchases of Class A common stock during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 ended December 31, 2025. </w:t>
      </w:r>
    </w:p>
    <w:tbl>
      <w:tblPr>
        <w:tblW w:w="10205" w:type="dxa"/>
        <w:jc w:val="center"/>
        <w:tblInd w:w="0" w:type="dxa"/>
        <w:tblLayout w:type="fixed"/>
        <w:tblCellMar>
          <w:top w:w="28" w:type="dxa"/>
          <w:left w:w="28" w:type="dxa"/>
          <w:bottom w:w="28" w:type="dxa"/>
          <w:right w:w="28" w:type="dxa"/>
        </w:tblCellMar>
      </w:tblPr>
      <w:tblGrid>
        <w:gridCol w:w="479"/>
        <w:gridCol w:w="308"/>
        <w:gridCol w:w="303"/>
        <w:gridCol w:w="109"/>
        <w:gridCol w:w="109"/>
        <w:gridCol w:w="109"/>
        <w:gridCol w:w="520"/>
        <w:gridCol w:w="520"/>
        <w:gridCol w:w="522"/>
        <w:gridCol w:w="109"/>
        <w:gridCol w:w="109"/>
        <w:gridCol w:w="109"/>
        <w:gridCol w:w="291"/>
        <w:gridCol w:w="852"/>
        <w:gridCol w:w="150"/>
        <w:gridCol w:w="109"/>
        <w:gridCol w:w="109"/>
        <w:gridCol w:w="109"/>
        <w:gridCol w:w="703"/>
        <w:gridCol w:w="703"/>
        <w:gridCol w:w="705"/>
        <w:gridCol w:w="109"/>
        <w:gridCol w:w="109"/>
        <w:gridCol w:w="109"/>
        <w:gridCol w:w="483"/>
        <w:gridCol w:w="1998"/>
        <w:gridCol w:w="360"/>
      </w:tblGrid>
      <w:tr>
        <w:trPr/>
        <w:tc>
          <w:tcPr>
            <w:tcW w:w="4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Total Number of Shares Purchased (in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Average Price Paid per Share</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r>
      <w:tr>
        <w:trPr/>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2.27</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 February 2022, our Board of Directors authorized a $1.2 billion share repurchase program, which we completed during the three months ended March 31, 2024. In July 2023, the Board of Directors authorized an additional $1.2 billion program, which we completed during the three months ended March 31, 2025. In December 2024, the Board of Directors authorized a third $1.2 billion program, which we completed during the three months ended December 31, 2025. In August 2025, the Board of Directors authorized a new share repurchase program for the purchase of an additional $1.5 billion of shares of our Class A common stock, under which we continue to repurchase shares.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consolidated financial statements included elsewhere in this Annual Report on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per share includes costs associated with the repurchases, excluding the 1% excise tax imposed as part of the Inflation Reduction 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18"/>
        </w:rPr>
        <w:t>Includes 11,354 shares of restricted common stock withheld by the Company upon vesting of restricted stock awards to satisfy tax withholding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18"/>
        </w:rPr>
        <w:br/>
      </w:r>
      <w:r>
        <w:rPr>
          <w:rFonts w:ascii="Times New Roman;serif" w:hAnsi="Times New Roman;serif"/>
          <w:b/>
          <w:color w:val="000000"/>
          <w:sz w:val="20"/>
        </w:rPr>
        <w:t>Stock Performance Graph</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(i) the cumulative total stockholder return on our Class A common stock from December 31, 2020 through December 31, 2025 with (ii) the cumulative total return of the Standard &amp; Poor's 500 Index and the Nasdaq Computer Index over the same period, assuming the investment of $100 in our common stock and in both of the other indices on December 31, 2020 and the reinvestment of dividends. The graph uses the closing market price on December 31, 2020 of $22.19 per share as the initial value of our common stock. As discussed above, we have never declared or paid a cash dividend on our common stock and do not anticipate declaring or paying a cash dividend in the foreseeable future.</w:t>
      </w:r>
    </w:p>
    <w:p>
      <w:pPr>
        <w:pStyle w:val="TextBody"/>
        <w:bidi w:val="0"/>
        <w:spacing w:before="0" w:after="0"/>
        <w:ind w:left="0" w:right="0" w:firstLine="495"/>
        <w:jc w:val="left"/>
        <w:rPr/>
      </w:pPr>
      <w:r>
        <w:rPr/>
      </w:r>
    </w:p>
    <w:p>
      <w:pPr>
        <w:pStyle w:val="TextBody"/>
        <w:bidi w:val="0"/>
        <w:spacing w:before="0" w:after="0"/>
        <w:jc w:val="center"/>
        <w:rPr/>
      </w:pPr>
      <w:r>
        <w:rPr/>
        <w:drawing>
          <wp:inline distT="0" distB="0" distL="0" distR="0">
            <wp:extent cx="6200775" cy="2419350"/>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
                    <a:stretch>
                      <a:fillRect/>
                    </a:stretch>
                  </pic:blipFill>
                  <pic:spPr bwMode="auto">
                    <a:xfrm>
                      <a:off x="0" y="0"/>
                      <a:ext cx="6200775" cy="2419350"/>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*Returns are based on historical results and are not necessarily indicative of future performance. See the disclosure in Part I, Item 1A, “Risk Factors.”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Unregistered Sales of Equity Securities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7.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2024 and 2023 see Item 7, Management’s Discussion and Analysis of Financial Condition and Results of Operations, of our Annual Report on Form 10-K for the fiscal year ended December 31, 2024, filed with the SEC on February 21, 2025.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By solving these universal problems, we’ve become invaluable to our users. The popularity of our platform allows us to scale efficiently. We’ve built a thriving global business with 18.08 million paying users.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Subscription Plans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individuals, families, teams, and organizations by selling subscriptions to our platform, which serve the varying needs of our diverse customer base. Our subscriptions include individual licenses through our Plus, Simple, Professional or Essentials plans, or multiple licenses through our Family plan or our Standard, Advanced, Business, Business Plus and Enterprise team plans. We also offer Dash,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premium subscription plans, such as Professional and Advanced, provide more functionality than our other subscription plans and have higher per user prices. Our team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 which has negatively impacted our annual recurring revenue ("ARR"), revenue and paying users in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offer a range of paid subscription plans, from Plus, Simple,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Impact of Macroeconomic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our overall performance exceeded expectations, with business trends reflecting steady execution amid ongoing macroeconomic uncertainty. We saw better than expected improvements in customer retention and engagement, particularly across our Individual plans. While Teams performance showed signs of stabilization, it continues to be affected by cautious customer spend amid broader macroeconomic uncertainty. Additionally, DocSend delivered strong growth, while Sign modestly exceeded expectations.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 Item 1A. of this report.</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Total annual recurring 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ARR fluctuates and may decrease in some periods as compared to prior periods. In the near term, ARR has experienced and may continue to experience a slight decline, reflecting our strategic decision to significantly reduce investments in FormSwift at the beginning of 2025 as well as our plan to wind down operations by the end of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ARR decreased for the period ended December 31, 2025, compared to the period ended December 31, 2024 primarily driven by our strategic decision to significantly reduce our investment in FormSwift at the beginning of 2025 and a challenging operating environment across our Teams plans, partially offset by growth in Individuals plans.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below tables set forth our Total ARR using the exchange rates set at the beginning of the applicable year, as well as on a constant currency basis relative to the exchange rates used in 2025.</w:t>
      </w:r>
    </w:p>
    <w:p>
      <w:pPr>
        <w:pStyle w:val="TextBody"/>
        <w:bidi w:val="0"/>
        <w:spacing w:before="0" w:after="0"/>
        <w:ind w:left="0" w:right="0" w:firstLine="495"/>
        <w:jc w:val="left"/>
        <w:rPr/>
      </w:pPr>
      <w:r>
        <w:rPr/>
      </w:r>
    </w:p>
    <w:tbl>
      <w:tblPr>
        <w:tblW w:w="3467" w:type="dxa"/>
        <w:jc w:val="center"/>
        <w:tblInd w:w="0" w:type="dxa"/>
        <w:tblLayout w:type="fixed"/>
        <w:tblCellMar>
          <w:top w:w="28" w:type="dxa"/>
          <w:left w:w="28" w:type="dxa"/>
          <w:bottom w:w="28" w:type="dxa"/>
          <w:right w:w="28" w:type="dxa"/>
        </w:tblCellMar>
      </w:tblPr>
      <w:tblGrid>
        <w:gridCol w:w="363"/>
        <w:gridCol w:w="320"/>
        <w:gridCol w:w="322"/>
        <w:gridCol w:w="211"/>
        <w:gridCol w:w="616"/>
        <w:gridCol w:w="109"/>
        <w:gridCol w:w="109"/>
        <w:gridCol w:w="109"/>
        <w:gridCol w:w="109"/>
        <w:gridCol w:w="211"/>
        <w:gridCol w:w="616"/>
        <w:gridCol w:w="109"/>
        <w:gridCol w:w="109"/>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tbl>
      <w:tblPr>
        <w:tblW w:w="4186" w:type="dxa"/>
        <w:jc w:val="center"/>
        <w:tblInd w:w="0" w:type="dxa"/>
        <w:tblLayout w:type="fixed"/>
        <w:tblCellMar>
          <w:top w:w="28" w:type="dxa"/>
          <w:left w:w="28" w:type="dxa"/>
          <w:bottom w:w="28" w:type="dxa"/>
          <w:right w:w="28" w:type="dxa"/>
        </w:tblCellMar>
      </w:tblPr>
      <w:tblGrid>
        <w:gridCol w:w="624"/>
        <w:gridCol w:w="548"/>
        <w:gridCol w:w="552"/>
        <w:gridCol w:w="211"/>
        <w:gridCol w:w="616"/>
        <w:gridCol w:w="109"/>
        <w:gridCol w:w="109"/>
        <w:gridCol w:w="109"/>
        <w:gridCol w:w="109"/>
        <w:gridCol w:w="211"/>
        <w:gridCol w:w="616"/>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Constant Currency</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Revaluing our ending Total ARR for fiscal 2025 using exchange rates set at the beginning of fiscal 2026, Total ARR at the end of fiscal 2025 would be $2,562 million.</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Paying users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DocSend, FormSwift and Reclaim, we define paying users as the number of users who have active paid licenses for access to our platform as of the end of the period.</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number of paying users as of December 31, 2025 declined as compared to December 31, 2024, largely due to reduced outbound sales activity following our 2024 reduction in workforce, continued pressure on our Teams plans and our strategic decision to significantly reduce our investments in FormSwift at the beginning of 2025, offset by growth in Simple. We expect that the total number of paying users will continue to fluctuate from period to period and may continue to decrease in some periods as compared to prior periods.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sets forth the number of paying users as of December 31, 2025 and 2024. </w:t>
      </w:r>
    </w:p>
    <w:p>
      <w:pPr>
        <w:pStyle w:val="TextBody"/>
        <w:bidi w:val="0"/>
        <w:spacing w:before="0" w:after="0"/>
        <w:ind w:left="0" w:right="0" w:firstLine="495"/>
        <w:jc w:val="left"/>
        <w:rPr/>
      </w:pPr>
      <w:r>
        <w:rPr/>
      </w:r>
    </w:p>
    <w:tbl>
      <w:tblPr>
        <w:tblW w:w="3589" w:type="dxa"/>
        <w:jc w:val="left"/>
        <w:tblInd w:w="0" w:type="dxa"/>
        <w:tblLayout w:type="fixed"/>
        <w:tblCellMar>
          <w:top w:w="28" w:type="dxa"/>
          <w:left w:w="28" w:type="dxa"/>
          <w:bottom w:w="28" w:type="dxa"/>
          <w:right w:w="28" w:type="dxa"/>
        </w:tblCellMar>
      </w:tblPr>
      <w:tblGrid>
        <w:gridCol w:w="412"/>
        <w:gridCol w:w="363"/>
        <w:gridCol w:w="364"/>
        <w:gridCol w:w="308"/>
        <w:gridCol w:w="308"/>
        <w:gridCol w:w="191"/>
        <w:gridCol w:w="191"/>
        <w:gridCol w:w="191"/>
        <w:gridCol w:w="191"/>
        <w:gridCol w:w="308"/>
        <w:gridCol w:w="308"/>
        <w:gridCol w:w="191"/>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users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Average revenue per paying user</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average revenue per paying user for the year ended December 31, 2025 decreased as compared to the year ended December 31, 2024 as a result of our strategic decision to significantly reduce our investment in FormSwift and an increased mix of sales towards our lower priced plans.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below table sets forth our ARPU for the years ended December 31, 2025 and 2024.</w:t>
      </w:r>
    </w:p>
    <w:p>
      <w:pPr>
        <w:pStyle w:val="TextBody"/>
        <w:bidi w:val="0"/>
        <w:spacing w:before="0" w:after="0"/>
        <w:ind w:left="0" w:right="0" w:firstLine="495"/>
        <w:jc w:val="left"/>
        <w:rPr/>
      </w:pPr>
      <w:r>
        <w:rPr/>
      </w:r>
    </w:p>
    <w:tbl>
      <w:tblPr>
        <w:tblW w:w="3522"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09"/>
        <w:gridCol w:w="211"/>
        <w:gridCol w:w="722"/>
        <w:gridCol w:w="109"/>
        <w:gridCol w:w="109"/>
        <w:gridCol w:w="109"/>
        <w:gridCol w:w="109"/>
        <w:gridCol w:w="211"/>
        <w:gridCol w:w="721"/>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FCF increased for the year ended December 31, 2025, compared to the year ended December 31, 2024, primarily due to an increase in cash provided by operating activities. The increase in cash provided by operating activities was primarily due to ongoing operating efficiency initiatives and payments related to our reduction in workforce in the fourth quarter of 2024, offset by increased foreign tax and accounts payable payments, and lease termination payments related to the partial termination of our lease for our San Francisco, California corporate headquarters.</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FCF to fluctuate in the near term due to ongoing operating efficiency initiatives and variability in interest payments for any additional draws on our term loan facility, as well as fluctuations in market interest rates. We expect to continue purchasing infrastructure equipment to support our user base and expect a one-time incremental investment related to the build-out of our new San Francisco, California headquarters given we will vacate our current San Francisco, California headquarters due to recent sublease activity. See Note 16, "Subsequent Events" to our consolidated financial statements included elsewhere in this Annual Report on Form 10-K. We anticipate that our capital expenditures will generally remain consistent in future periods as we continue to invest in our internal infrastructure, network and security. The timing of our operating expenses as described below, may cause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growth is impacted by both the number of paying users and our ability to increase the average revenue per paying user. Our overall paying user growth rate has declined, and we expect growth in paying users to fluctuate from period to period in the future. If we do not successfully reverse the trend of decreasing average revenue per paying user, for example through increased sales of our higher-priced subscription plans, or otherwise offset slower growth or declines in paying users, we expect our revenue and revenue growth rate to continue decreasing.</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0"/>
        <w:ind w:left="0" w:right="0" w:firstLine="45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in the fourth quarter of 2024,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 xml:space="preserve">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expect gross margin to remain relatively constant in both the near term and long term.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450"/>
        <w:jc w:val="left"/>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employee-related costs for our engineering, product, and design teams, expenses related to our reduction in workforce in the fourth quarter of 2024,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research and development costs will decrease in absolute dollars and as a percentage of revenue in both the near term and long term as we continue to drive operating efficiencies across the business, partially offset by ongoing investment in key growth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relate to both self-serve and outbound sales activities, and consist primarily of employee-related costs, expenses related to our reduction in workforce in the fourth quarter of 2024,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sales and marketing expenses will remain consistent in absolute dollars in the near term and could fluctuate in the long term as we seek to grow our user base and increase our brand awareness while also retaining flexibility to invest in growth.</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expenses related to our reduction in workforce in the fourth quarter of 2024, such as severance, benefits and other related items, allocated overhead, outside legal, accounting and other professional fees, and non income-based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Net (gain) loss on real estate assets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(gain) loss on real estate assets consists of gains and losses related to real estate and lease activity, including impairment charges. See Note 9, "Leases" to our consolidated financial statements included elsewhere in this Annual Report on Form 10-K.</w:t>
      </w:r>
    </w:p>
    <w:p>
      <w:pPr>
        <w:pStyle w:val="TextBody"/>
        <w:bidi w:val="0"/>
        <w:spacing w:before="20" w:after="283"/>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We expect that interest (expense), income, net may fluctuate in both the near term and the long term, depending on the timing and magnitude of any additional draws on our term loan facility, as well as changes in market interest rates.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consists of U.S. federal, state and foreign jurisdiction income taxes. For 2025 and 2024, the difference between the U.S. statutory rate and our effective tax rate is primarily due to the jurisdictional mix of earnings, tax credits, state income taxes, stock-based compensation, and changes to our unrecognized tax benefits.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w:t>
      </w:r>
    </w:p>
    <w:tbl>
      <w:tblPr>
        <w:tblW w:w="6055" w:type="dxa"/>
        <w:jc w:val="left"/>
        <w:tblInd w:w="0" w:type="dxa"/>
        <w:tblLayout w:type="fixed"/>
        <w:tblCellMar>
          <w:top w:w="28" w:type="dxa"/>
          <w:left w:w="28" w:type="dxa"/>
          <w:bottom w:w="28" w:type="dxa"/>
          <w:right w:w="28" w:type="dxa"/>
        </w:tblCellMar>
      </w:tblPr>
      <w:tblGrid>
        <w:gridCol w:w="1110"/>
        <w:gridCol w:w="979"/>
        <w:gridCol w:w="986"/>
        <w:gridCol w:w="109"/>
        <w:gridCol w:w="109"/>
        <w:gridCol w:w="109"/>
        <w:gridCol w:w="109"/>
        <w:gridCol w:w="211"/>
        <w:gridCol w:w="766"/>
        <w:gridCol w:w="109"/>
        <w:gridCol w:w="109"/>
        <w:gridCol w:w="109"/>
        <w:gridCol w:w="109"/>
        <w:gridCol w:w="211"/>
        <w:gridCol w:w="76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(gain) loss on real estate assets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0" w:after="0"/>
        <w:jc w:val="left"/>
        <w:rPr/>
      </w:pPr>
      <w:r>
        <w:rPr/>
      </w:r>
    </w:p>
    <w:tbl>
      <w:tblPr>
        <w:tblW w:w="5530" w:type="dxa"/>
        <w:jc w:val="center"/>
        <w:tblInd w:w="0" w:type="dxa"/>
        <w:tblLayout w:type="fixed"/>
        <w:tblCellMar>
          <w:top w:w="28" w:type="dxa"/>
          <w:left w:w="28" w:type="dxa"/>
          <w:bottom w:w="28" w:type="dxa"/>
          <w:right w:w="28" w:type="dxa"/>
        </w:tblCellMar>
      </w:tblPr>
      <w:tblGrid>
        <w:gridCol w:w="992"/>
        <w:gridCol w:w="874"/>
        <w:gridCol w:w="878"/>
        <w:gridCol w:w="109"/>
        <w:gridCol w:w="109"/>
        <w:gridCol w:w="119"/>
        <w:gridCol w:w="119"/>
        <w:gridCol w:w="230"/>
        <w:gridCol w:w="673"/>
        <w:gridCol w:w="11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the Company's reduction in workforce such as severance, benefits and other related items during the years ended December 31, 2025 and 2024. See Note 1, "Description of the Business and Summary of Significant Accounting Policies - Reduction in Workforce" to the Company's consolidated financial statements included elsewhere in this Annual Report on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See Note 9, "Leases" to the Company's consolidated financial statements included elsewhere in this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20" w:after="160"/>
        <w:ind w:left="0" w:right="0" w:firstLine="450"/>
        <w:jc w:val="left"/>
        <w:rPr/>
      </w:pPr>
      <w:r>
        <w:rPr/>
      </w:r>
    </w:p>
    <w:p>
      <w:pPr>
        <w:pStyle w:val="TextBody"/>
        <w:bidi w:val="0"/>
        <w:spacing w:lineRule="auto" w:line="288" w:before="2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revenue:</w:t>
      </w:r>
    </w:p>
    <w:tbl>
      <w:tblPr>
        <w:tblW w:w="5799" w:type="dxa"/>
        <w:jc w:val="left"/>
        <w:tblInd w:w="0" w:type="dxa"/>
        <w:tblLayout w:type="fixed"/>
        <w:tblCellMar>
          <w:top w:w="28" w:type="dxa"/>
          <w:left w:w="28" w:type="dxa"/>
          <w:bottom w:w="28" w:type="dxa"/>
          <w:right w:w="28" w:type="dxa"/>
        </w:tblCellMar>
      </w:tblPr>
      <w:tblGrid>
        <w:gridCol w:w="1110"/>
        <w:gridCol w:w="979"/>
        <w:gridCol w:w="986"/>
        <w:gridCol w:w="109"/>
        <w:gridCol w:w="109"/>
        <w:gridCol w:w="194"/>
        <w:gridCol w:w="194"/>
        <w:gridCol w:w="233"/>
        <w:gridCol w:w="233"/>
        <w:gridCol w:w="500"/>
        <w:gridCol w:w="112"/>
        <w:gridCol w:w="112"/>
        <w:gridCol w:w="112"/>
        <w:gridCol w:w="233"/>
        <w:gridCol w:w="233"/>
        <w:gridCol w:w="350"/>
      </w:tblGrid>
      <w:tr>
        <w:trPr/>
        <w:tc>
          <w:tcPr>
            <w:tcW w:w="111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152"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(gain) loss on real estate assets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a percentage of revenue as follows:</w:t>
      </w:r>
    </w:p>
    <w:p>
      <w:pPr>
        <w:pStyle w:val="TextBody"/>
        <w:bidi w:val="0"/>
        <w:spacing w:before="0" w:after="0"/>
        <w:jc w:val="left"/>
        <w:rPr/>
      </w:pPr>
      <w:r>
        <w:rPr/>
      </w:r>
    </w:p>
    <w:tbl>
      <w:tblPr>
        <w:tblW w:w="5297" w:type="dxa"/>
        <w:jc w:val="center"/>
        <w:tblInd w:w="0" w:type="dxa"/>
        <w:tblLayout w:type="fixed"/>
        <w:tblCellMar>
          <w:top w:w="28" w:type="dxa"/>
          <w:left w:w="28" w:type="dxa"/>
          <w:bottom w:w="28" w:type="dxa"/>
          <w:right w:w="28" w:type="dxa"/>
        </w:tblCellMar>
      </w:tblPr>
      <w:tblGrid>
        <w:gridCol w:w="992"/>
        <w:gridCol w:w="874"/>
        <w:gridCol w:w="878"/>
        <w:gridCol w:w="109"/>
        <w:gridCol w:w="109"/>
        <w:gridCol w:w="194"/>
        <w:gridCol w:w="194"/>
        <w:gridCol w:w="200"/>
        <w:gridCol w:w="200"/>
        <w:gridCol w:w="500"/>
        <w:gridCol w:w="112"/>
        <w:gridCol w:w="112"/>
        <w:gridCol w:w="112"/>
        <w:gridCol w:w="180"/>
        <w:gridCol w:w="181"/>
        <w:gridCol w:w="350"/>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047"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the Company's reduction in workforce such as severance, benefits and other related items during the years ended December 31, 2025 and 2024. See Note 1, "Description of the Business and Summary of Significant Accounting Policies - Reduction in Workforce" to the Company's consolidated financial statements included elsewhere in this Annual Report on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See Note 9, "Leases" to the Company's consolidated financial statements included elsewhere in this Annual Report on Form 10-K.</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994"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586"/>
        <w:gridCol w:w="109"/>
        <w:gridCol w:w="109"/>
        <w:gridCol w:w="109"/>
        <w:gridCol w:w="109"/>
        <w:gridCol w:w="240"/>
        <w:gridCol w:w="240"/>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decreased $27.2 million or 1.1% during the year ended December 31, 2025, as compared to the year ended December 31, 2024, primarily due to our strategic decision to significantly reduce our investment in FormSwift and</w:t>
      </w:r>
      <w:r>
        <w:rPr>
          <w:color w:val="000000"/>
          <w:shd w:fill="FFFFFF" w:val="clear"/>
        </w:rPr>
        <w:t xml:space="preserve"> </w:t>
      </w:r>
      <w:r>
        <w:rPr>
          <w:rFonts w:ascii="Times New Roman;serif" w:hAnsi="Times New Roman;serif"/>
          <w:b w:val="false"/>
          <w:color w:val="000000"/>
          <w:sz w:val="20"/>
          <w:shd w:fill="FFFFFF" w:val="clear"/>
        </w:rPr>
        <w:t>a challenging Teams environment</w:t>
      </w:r>
      <w:r>
        <w:rPr>
          <w:rFonts w:ascii="Times New Roman;serif" w:hAnsi="Times New Roman;serif"/>
          <w:b w:val="false"/>
          <w:color w:val="000000"/>
          <w:sz w:val="20"/>
        </w:rPr>
        <w:t>, offset by growth in our Individuals plans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Revenue was positively impacted by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9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55"/>
        <w:gridCol w:w="256"/>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increased $55.7 million or 12.5% during the year ended December 31, 2025, as compared to the year ended December 31, 2024. This increase was primarily driven by a $53.1 million increase in infrastructure costs, including costs associated with adding equipment in support of our data center refresh cycle and data center facilities costs. Additionally, we saw a smaller benefit in depreciation expense compared to the 2024 period as a result of the change in useful lives from four to five years of certain infrastructure and component assets which was effective January 1,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gross margin decreased during the year ended December 31, 2025 compared to the year ended December 31, 2024, primarily due to a 12.5% increase in our cost of revenue as described above and a 1.1% decrease in revenue during the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373"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$182.9 million or 20.0% during the year ended December 31, 2025, as compared to the year ended December 31, 2024, primarily due to decreases of $147.8 million in employee-related costs driven by a decrease in headcount and $32.0 million in allocated overhead.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713"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$90.8 million or 19.7% during the year ended December 31, 2025, as compared to the year ended December 31, 2024, primarily due to a decrease of $52.3 million related to advertising due to our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decision to significantly reduce our investments in FormSwift and other marketing related expenses as well as a decrease of $31.8 million in employee-related costs driven by a decrease in headcount.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162"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$10.7 million or 4.4% during the year ended December 31, 2025, as compared to the year ended December 31, 2024, primarily due to decreases of $7.4 million in outside services and $6.5 million in allocated overhead.</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Net (gain) loss on real estate assets</w:t>
      </w:r>
    </w:p>
    <w:tbl>
      <w:tblPr>
        <w:tblW w:w="7623" w:type="dxa"/>
        <w:jc w:val="left"/>
        <w:tblInd w:w="0" w:type="dxa"/>
        <w:tblLayout w:type="fixed"/>
        <w:tblCellMar>
          <w:top w:w="28" w:type="dxa"/>
          <w:left w:w="28" w:type="dxa"/>
          <w:bottom w:w="28" w:type="dxa"/>
          <w:right w:w="28" w:type="dxa"/>
        </w:tblCellMar>
      </w:tblPr>
      <w:tblGrid>
        <w:gridCol w:w="1051"/>
        <w:gridCol w:w="925"/>
        <w:gridCol w:w="934"/>
        <w:gridCol w:w="211"/>
        <w:gridCol w:w="481"/>
        <w:gridCol w:w="109"/>
        <w:gridCol w:w="109"/>
        <w:gridCol w:w="109"/>
        <w:gridCol w:w="109"/>
        <w:gridCol w:w="211"/>
        <w:gridCol w:w="406"/>
        <w:gridCol w:w="109"/>
        <w:gridCol w:w="109"/>
        <w:gridCol w:w="109"/>
        <w:gridCol w:w="109"/>
        <w:gridCol w:w="256"/>
        <w:gridCol w:w="511"/>
        <w:gridCol w:w="134"/>
        <w:gridCol w:w="109"/>
        <w:gridCol w:w="109"/>
        <w:gridCol w:w="109"/>
        <w:gridCol w:w="344"/>
        <w:gridCol w:w="346"/>
        <w:gridCol w:w="614"/>
      </w:tblGrid>
      <w:tr>
        <w:trPr/>
        <w:tc>
          <w:tcPr>
            <w:tcW w:w="105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real estate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gain on real estate assets was $1.3 million for the year ended December 31, 2025, primarily resulting from a reduction of the liability for unrecoverable common area maintenance costs related to our San Francisco, California corporate headquarters due to recent sublease activity. Net loss on real estate assets was $0.1 million for the year ended December 31, 2024, primarily due to changes in the corporate real estate market, which impacted our subleasing strategy in conjunction with our Virtual First work model.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changed by $92.5 million during the year ended December 31, 2025, as compared to the year ended December 31, 2024, primarily due to an increase in interest expense related to our term loan facility entered into in the fourth quarter of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$2.6 million during the year ended December 31, 2025, as compared to the year ended December 31, 2024, primarily due to a $2.0 million increase in foreign currency transaction losses.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$51.7 million during the year ended December 31, 2025, as compared to the year ended December 31, 2024, primarily due to an increase in income before taxes, a reduction in tax credits, and increases to our unrecognized tax benefits in the current year, as compared to reductions to our uncertain tax positions in the prior year due to an effective settlement with a foreign taxing authority.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OBBBA reduced our U.S. cash tax payments in 2025, but increased tax expense, primarily due to limits to the availability of certain credits and deductions resulting from the reinstatement of immediate expensing for U.S. research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of $891.3 million and short-term investments of $146.9 million, which were held for working capital purposes. Our cash, cash equivalents, and short-term investments consist primarily of cash, money market funds, corporate notes and obligations, U.S. Treasury securities, asset-backed securities, U.S. agency obligations, supranational securities, and municipal securities. As of December 31, 2025, $413.8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primarily through cash generated from our operations, the Notes (as defined below) issuance, borrowings from our term loan facility, equity issuances, and finance leases for our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delayed draw term loan features as part of the term loan facility for additional working capital flexibility, as described below.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2021, we issued approximately $1.4 billion in aggregate principal amount of the 2026 Notes and the 2028 Notes (together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bidi w:val="0"/>
        <w:spacing w:before="0" w:after="0"/>
        <w:ind w:left="0" w:right="0" w:firstLine="450"/>
        <w:jc w:val="left"/>
        <w:rPr/>
      </w:pPr>
      <w:r>
        <w:rPr/>
      </w:r>
    </w:p>
    <w:p>
      <w:pPr>
        <w:pStyle w:val="TextBody"/>
        <w:bidi w:val="0"/>
        <w:spacing w:lineRule="auto" w:line="26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we entered into a secured five-year term loan facility in an aggregate principal amount of up to $2.0 billion, consisting of initial term loans and initial delayed draw term loan commitments (the "initial delayed draw term loans") each in an aggregate principal amount of up to $1.0 billion, respectively. The terms of the initial Credit Agreement also provide for a secured letter of credit facility in an aggregate amount of up to $35.0 million. In September 2025, we entered into the First Amendment to the term loan facility which provided for additional secured delayed draw term loan commitments in an aggregate principal amount of up to $700.0 million (the "2025 delayed draw term loans"). The 2025 delayed draw term loans may be borrowed solely for the purpose of prepaying, repaying, repurchasing, redeeming, exchanging or settling upon conversion the 2026 Notes. We expect to pay the 2026 Notes using proceeds from the loans prior to or at maturity in 2026.</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initial term loans and initial delayed draw term loans have a maturity date of December 11, 2029 and the 2025 delayed draw term loans have a maturity date of September 9, 2030. Quarterly principal payments for the initial term loans and initial delayed draw term loans began on March 31, 2025 and on the last business day of the quarter after the funding of such loans, respectively, and will continue on the last business day of each quarter thereafter, equal to 0.25% of the original principal amount of such term loans or such greater percentage as may be required to make the initial delayed draw term loans fungible with any then-outstanding term loans. Quarterly repayments of 0.25% of the original principal amount of the 2025 delayed draw term loans are required beginning on the last business day of the quarter after the funding of such loans and continuing thereafter. As of December 31, 2025, we had $1,488.3 million of outstanding initial term loans and initial delayed draw term loans, no outstanding 2025 delayed draw term loans, and $1,200.0 million available to draw on the term loan facility. As of December 31, 2025, $17.5 million letters of credit were issued under the letter of credit facility.</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borrowings under the term loan facility accrues at either an alternate base rate plus a margin of 2.75% or a term SOFR rate plus a margin of 3.75% (further described in Note 8 "Debt") at our option. Pursuant to the terms of the Amended Credit Agreement, we are required to pay a quarterly commitment fee that accrues at a rate of 1.00% per annum on both the unused portion of the initial delayed draw term loan commitments and the unused portion of the 2025 delayed draw term loans. The 2025 delayed draw term loans commitment fees started accruing on the unused portion three months after the effective date of the First Amendment.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permits the Company, subject to satisfaction of certain conditions, including obtaining commitments from new or existing lenders, to add new term loan facilities or increase the term loan commitments under the term loan agreement, in each case, subject to certain limits. Additionally, the Amended Credit Agreement contains customary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December 31, 2025.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utilized a significant portion of our U.S. federal, state and foreign net operating losses. Future utilization of remaining net operating loss and research credit carryforwards are subject to statutory limits.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together with our short-term investments, cash provided by operations and amounts available under the term loan facility, will be sufficient to meet our needs for the foreseeable future. In addition to the Notes and obligations under the term loan facility discussed above, as of December 31, 2025, we have cash commitments due to additional known contractual obligations. Our cash commitments due to known contractual obligations primarily relate to operating and finance lease arrangements. As of December 31, 2025, we additionally had $91.4 million of commitments with third-party vendors for services related to our infrastructure, infrastructure warranty contracts, and asset retirement obligations for office modifications, with terms of 11 years or less.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operating lease arrangements consist of leases for our offices and datacenters with terms of 11 years or less. As of December 31, 2025, future non-cancelable minimum rental payments related to operating leases were $646.1 million, which includes $162.9 million of future contractual rent payments allocated to non-lease components, and excludes rent payments from our subtenants and variable operating expenses. As of December 31, 2025, we are entitled to non-cancelable rent payments from our subtenants of $65.9 million, which will be collected over the next 8 years. Our finance lease arrangements primarily consist of leases for our infrastructure with terms of 4 years or less. As of December 31, 2025, future non-cancelable minimum rental payments under finance leases were$373.1 million. Refer to Note 9, "Leases", for more information.</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uses of cash in recent periods have been funding our operations, repurchases of our Class A common stock, the satisfaction of tax withholding obligations in connection with the settlement of restricted stock units ("RSUs") and restricted stock awards ("RSAs"), making principal payments on our finance lease obligations, and capital expenditures. Our Board of Directors has authorized three separate $1.2 billion Class A common stock repurchase programs since February 2022, with authorizations in February 2022, July 2023 and December 2024. We completed the February 2022, July 2023 and December 2024 authorizations during the three months ended March 31, 2024, March 31, 2025, and December 31, 2025 respectively. In August 2025, our Board of Directors authorized a new repurchase program of up to an additional $1.5 billion of the outstanding shares of our Class A common stock.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year ended December 31, 2025, we repurchased and subsequently retired 60.4 million shares of our Class A common stock for an aggregate amount of $1.7 billion.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7403" w:type="dxa"/>
        <w:jc w:val="left"/>
        <w:tblInd w:w="0" w:type="dxa"/>
        <w:tblLayout w:type="fixed"/>
        <w:tblCellMar>
          <w:top w:w="28" w:type="dxa"/>
          <w:left w:w="28" w:type="dxa"/>
          <w:bottom w:w="28" w:type="dxa"/>
          <w:right w:w="28" w:type="dxa"/>
        </w:tblCellMar>
      </w:tblPr>
      <w:tblGrid>
        <w:gridCol w:w="1840"/>
        <w:gridCol w:w="1620"/>
        <w:gridCol w:w="1624"/>
        <w:gridCol w:w="211"/>
        <w:gridCol w:w="691"/>
        <w:gridCol w:w="109"/>
        <w:gridCol w:w="109"/>
        <w:gridCol w:w="109"/>
        <w:gridCol w:w="109"/>
        <w:gridCol w:w="211"/>
        <w:gridCol w:w="61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operating activities was $951.8 million, which primarily consisted of our net income of $508.4 million, adjusted for stock-based compensation expense of $300.8 million, depreciation and amortization expenses of $157.4 million, and net cash outflow of $126.8 million from operating assets and liabilities. The outflow from operating assets and liabilities was primarily due to the payment of our 2024 corporate bonus, the payment for the third tranche termination fee for the partial termination of our lease for our San Francisco, California corporate headquarters, and payments related to our operating leases.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$57.7 million in net cash provided by operating activities during the year ended December 31, 2025, compared to the year ended December 31, 2024, was primarily due to an increase of $73.0 million in net income, as adjusted for stock-based compensation, depreciation and amortization expenses, and other non-cash (gains) losses, partially offset by an increase of $15.3 million in cash outflows from changes in operating assets and liabilities. The increase in cash outflows is primarily driven by an increase in foreign tax and accounts payable payments, and an increase in termination fee payments related to the partial termination of our lease for our San Francisco, California corporate headquarters, offset by the payments related to our reduction in workforce in the fourth quarter of 2024.</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investing activities was $111.9 million, which primarily related to $124.8 million in investment activity inflows, driven by the maturities of short-term investments. The increase was partially offset by cash paid for acquisitions of $13.1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of $331.9 million in net cash provided by investing activities during the year ended December 31, 2025, compared to the year ended December 31, 2024, was primarily due to a decrease of $368.3 million in net investment activity inflows and a decrease in cash receipts from equipment rebates of $15.2 million, offset by a decrease of $44.7 million in cash paid for acquisitions.</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is primarily impacted by cash used for repurchases of common stock, tax withholding obligations for the release of restricted stock units and restricted stock awards, principal payments on finance lease obligations for our infrastructure equipment, principal payments on amounts drawn upon the term loan facility, payments of debt issuance costs and loan commitment fees related to the term loan facility, and payments of acquisition-related indemnity holdback amounts, offset by proceeds from the term loan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used in financing activities was $1,530.7 million, which primarily consisted of $1,713.9 million for the repurchase of our common stock, $151.0 million for the satisfaction of tax withholding obligations for the release of restricted stock units and awards, $128.6 million in principal payments on finance lease obligations, $11.6 million in principal payments against the term loan facility, and $21.6 million in payments of debt issuance costs and loan commitment fees under the term loan facility. The outflow was offset by $500.0 million in proceeds from the term loan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$944.1 million in net cash used in financing activities during the year ended December 31, 2025, compared to the year ended December 31, 2024, was primarily due to a decrease of $500.0 million in proceeds from the term loan facility, an increase of $472.3 million in repurchases of our common stock, and an increase of $11.6 million in principal payments against the term loan facility, offset by a decrease of $28.5 million in payments of debt issuance costs and loan commitment fees and a decrease of $13.6 million in cash paid for the release of acquisition-related indemnity holdback payments after the acquisition date in accordance with the merger agreement.</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Impacts of Stock-Based Compensation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Co-Founder Grant</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2017, the Board of Directors approved the grant to Drew Houston, the Company's Co-Founder and Chief Executive Officer, of 10.3 million shares of Class A common stock in the form of RSAs (the "Co-Founder Grant").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tbl>
      <w:tblPr>
        <w:tblW w:w="4961" w:type="dxa"/>
        <w:jc w:val="left"/>
        <w:tblInd w:w="0" w:type="dxa"/>
        <w:tblLayout w:type="fixed"/>
        <w:tblCellMar>
          <w:top w:w="28" w:type="dxa"/>
          <w:left w:w="28" w:type="dxa"/>
          <w:bottom w:w="28" w:type="dxa"/>
          <w:right w:w="28" w:type="dxa"/>
        </w:tblCellMar>
      </w:tblPr>
      <w:tblGrid>
        <w:gridCol w:w="707"/>
        <w:gridCol w:w="621"/>
        <w:gridCol w:w="623"/>
        <w:gridCol w:w="109"/>
        <w:gridCol w:w="109"/>
        <w:gridCol w:w="109"/>
        <w:gridCol w:w="770"/>
        <w:gridCol w:w="770"/>
        <w:gridCol w:w="771"/>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 Stock Price</w:t>
              <w:b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Eligible to Vest for</w:t>
              <w:br/>
              <w:t>Mr. Houston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2,066,667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1,033,333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 Vesting Condition for the Co-Founder Grant was satisfied on the date the Company’s shares of Class A common stock commenced trading on the Nasdaq Global Select Market in connection with the Company’s IPO, which was March 23, 2018.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first tranche of the Co-Founder Grant, or 2.1 million shares of Class A common stock, vested in the fourth quarter of 2021. The stock-based compensation expense for the Co-Founder Grant was recognized utilizing the accelerated attribution method over the requisite service period identified as the derived service period over which the market conditions are expected to be achieved, and is not reversed if the market conditions are not satisfied. As of December 31, 2024, the Company had fully recognized all related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effects of temporary differences between the financial reporting and tax bases of our assets and liabilities using enacted tax rates expected to apply when taxes are actually paid or recovered. In addition, deferred tax assets are recorded for net operating loss and credit carryforwards.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Any changes in our assessment of the realizability of deferred tax assets would result in a corresponding increase or decrease to income tax expense in the period in which such change is recorded.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various foreign jurisdictions and are required to make judgments and estimates in determining our provision for income taxes, including the recognition and measurement of uncertain tax positions. We recognize the tax benefit of an uncertain tax position only if it is more likely than not that the position will be sustained upon examination by the applicable taxing authority, based on the technical merits of the position. The evaluation of uncertain tax positions can require significant judgment and may involve assumptions regarding the interpretation and application of complex tax laws, and the resolution of issues with taxing authorities. These judgments may change as a result of new information, including changes in tax law, regulations, or interpretations thereof, the outcome of tax audits, or refinements to our estimates. Although we believe that our estimates related to uncertain tax positions are reasonable, the ultimate outcome of these matters may differ from our estimates. Any such differences could materially affect our provision for income taxes, effective tax rate, and cash flows in the period in which the matter is resolved.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Note 14, “Income Taxes” to the Consolidated Financial Statements in Part II, Item 8 of this Annual Report on Form 10-K for more information.</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7A. QUANTITATIVE AND QUALITATIVE DISCLOSURES ABOUT MARKET RISK</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$891.3 million and short-term investments of $146.9 million as of December 31, 2025. We hold our cash and cash equivalents and short-term investments for working capital purposes. Our cash, cash equivalents, and short-term investments consist primarily of cash, money market funds, corporate notes and obligations, U.S. Treasury securities, asset-backed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 3.75% margin. As of December 31, 2025, we had $1,488.3 million outstanding under the term loan facility. We do not have any other long-term debt or financial liabilities with floating interest rates that would subject us to interest rate fluctuations. For the year ended December 31, 2025, a hypothetical 100 basis point increase or decrease in interest rates would have resulted in a $10.9 million change in interest expense related to the term loan facility.</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year ended December 31, 2025,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and losses were immaterial during the years ended December 31, 2025 and 2024. A hypothetical 10% change in foreign currency rates would not have resulted in material gains or losses for the years ended December 31, 2025 and 2024.</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6811" w:type="dxa"/>
        <w:jc w:val="left"/>
        <w:tblInd w:w="0" w:type="dxa"/>
        <w:tblLayout w:type="fixed"/>
        <w:tblCellMar>
          <w:top w:w="28" w:type="dxa"/>
          <w:left w:w="28" w:type="dxa"/>
          <w:bottom w:w="28" w:type="dxa"/>
          <w:right w:w="28" w:type="dxa"/>
        </w:tblCellMar>
      </w:tblPr>
      <w:tblGrid>
        <w:gridCol w:w="2259"/>
        <w:gridCol w:w="1985"/>
        <w:gridCol w:w="1996"/>
        <w:gridCol w:w="167"/>
        <w:gridCol w:w="167"/>
        <w:gridCol w:w="237"/>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82">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00949dadc2974380bc9c47adc30a94d0_82">
              <w:r>
                <w:rPr>
                  <w:rStyle w:val="InternetLink"/>
                  <w:rFonts w:ascii="Times New Roman;serif" w:hAnsi="Times New Roman;serif"/>
                  <w:b w:val="false"/>
                  <w:color w:val="0000FF"/>
                  <w:sz w:val="20"/>
                  <w:u w:val="single"/>
                </w:rPr>
                <w:t>67</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85">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85">
              <w:r>
                <w:rPr>
                  <w:rStyle w:val="InternetLink"/>
                  <w:rFonts w:ascii="Times New Roman;serif" w:hAnsi="Times New Roman;serif"/>
                  <w:b w:val="false"/>
                  <w:color w:val="0000FF"/>
                  <w:sz w:val="20"/>
                  <w:u w:val="single"/>
                </w:rPr>
                <w:t>70</w:t>
              </w:r>
            </w:hyperlink>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88">
              <w:r>
                <w:rPr>
                  <w:rStyle w:val="InternetLink"/>
                  <w:rFonts w:ascii="Times New Roman;serif" w:hAnsi="Times New Roman;serif"/>
                  <w:b w:val="false"/>
                  <w:color w:val="0000FF"/>
                  <w:sz w:val="20"/>
                  <w:u w:val="single"/>
                </w:rPr>
                <w:t>Consolidated Statements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88">
              <w:r>
                <w:rPr>
                  <w:rStyle w:val="InternetLink"/>
                  <w:rFonts w:ascii="Times New Roman;serif" w:hAnsi="Times New Roman;serif"/>
                  <w:b w:val="false"/>
                  <w:color w:val="0000FF"/>
                  <w:sz w:val="20"/>
                  <w:u w:val="single"/>
                </w:rPr>
                <w:t>71</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91">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91">
              <w:r>
                <w:rPr>
                  <w:rStyle w:val="InternetLink"/>
                  <w:rFonts w:ascii="Times New Roman;serif" w:hAnsi="Times New Roman;serif"/>
                  <w:b w:val="false"/>
                  <w:color w:val="0000FF"/>
                  <w:sz w:val="20"/>
                  <w:u w:val="single"/>
                </w:rPr>
                <w:t>72</w:t>
              </w:r>
            </w:hyperlink>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94">
              <w:r>
                <w:rPr>
                  <w:rStyle w:val="InternetLink"/>
                  <w:rFonts w:ascii="Times New Roman;serif" w:hAnsi="Times New Roman;serif"/>
                  <w:b w:val="false"/>
                  <w:color w:val="0000FF"/>
                  <w:sz w:val="20"/>
                  <w:u w:val="single"/>
                </w:rPr>
                <w:t>Consolidated Statements of Stockholders’ Deficit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94">
              <w:r>
                <w:rPr>
                  <w:rStyle w:val="InternetLink"/>
                  <w:rFonts w:ascii="Times New Roman;serif" w:hAnsi="Times New Roman;serif"/>
                  <w:b w:val="false"/>
                  <w:color w:val="0000FF"/>
                  <w:sz w:val="20"/>
                  <w:u w:val="single"/>
                </w:rPr>
                <w:t>73</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97">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97">
              <w:r>
                <w:rPr>
                  <w:rStyle w:val="InternetLink"/>
                  <w:rFonts w:ascii="Times New Roman;serif" w:hAnsi="Times New Roman;serif"/>
                  <w:b w:val="false"/>
                  <w:color w:val="0000FF"/>
                  <w:sz w:val="20"/>
                  <w:u w:val="single"/>
                </w:rPr>
                <w:t>74</w:t>
              </w:r>
            </w:hyperlink>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100">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0949dadc2974380bc9c47adc30a94d0_100">
              <w:r>
                <w:rPr>
                  <w:rStyle w:val="InternetLink"/>
                  <w:rFonts w:ascii="Times New Roman;serif" w:hAnsi="Times New Roman;serif"/>
                  <w:b w:val="false"/>
                  <w:color w:val="0000FF"/>
                  <w:sz w:val="20"/>
                  <w:u w:val="singl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Dropbox, Inc.</w:t>
      </w:r>
    </w:p>
    <w:p>
      <w:pPr>
        <w:pStyle w:val="TextBody"/>
        <w:bidi w:val="0"/>
        <w:spacing w:before="240" w:after="283"/>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We have audited the accompanying consolidated balance sheets of Dropbox, Inc. (the Company) as of December 31, 2025 and 2024, the related consolidated statements of operations, comprehensive income, stockholders'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29"/>
        <w:gridCol w:w="465"/>
        <w:gridCol w:w="468"/>
        <w:gridCol w:w="2675"/>
        <w:gridCol w:w="2675"/>
        <w:gridCol w:w="3393"/>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 from Contracts with Customers</w:t>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74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1 to the consolidated financial statements, the Company derives its revenue from the sale of subscriptions for access to its platform, which are recognized ratably over the related contractual term.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Auditing the Company's revenue recognition is especially challenging due to the high volume of individually-low-monetary-value transactions that are processed through several applications responsible for initiation, processing, and recording.</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16"/>
        <w:gridCol w:w="541"/>
        <w:gridCol w:w="543"/>
        <w:gridCol w:w="2490"/>
        <w:gridCol w:w="2490"/>
        <w:gridCol w:w="3525"/>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the Company’s internal controls over revenue recognition. For example, with the assistance of IT professionals, we tested the internal controls over billing of subscriptions, reconciliation of billings to cash receipts, and revenue recognition.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test the Company’s accounting for revenue recognition, we performed substantive audit procedures that included, among others, testing the completeness and accuracy of the underlying data within the Company’s billing system, and by performing data analytics to evaluate the recognition of revenue and deferred revenue amounts.</w:t>
            </w:r>
          </w:p>
        </w:tc>
      </w:tr>
    </w:tbl>
    <w:p>
      <w:pPr>
        <w:pStyle w:val="TextBody"/>
        <w:bidi w:val="0"/>
        <w:spacing w:before="0" w:after="0"/>
        <w:jc w:val="left"/>
        <w:rPr/>
      </w:pPr>
      <w:r>
        <w:rPr/>
      </w:r>
    </w:p>
    <w:tbl>
      <w:tblPr>
        <w:tblW w:w="4530" w:type="dxa"/>
        <w:jc w:val="left"/>
        <w:tblInd w:w="0" w:type="dxa"/>
        <w:tblLayout w:type="fixed"/>
        <w:tblCellMar>
          <w:top w:w="28" w:type="dxa"/>
          <w:left w:w="28" w:type="dxa"/>
          <w:bottom w:w="28" w:type="dxa"/>
          <w:right w:w="28" w:type="dxa"/>
        </w:tblCellMar>
      </w:tblPr>
      <w:tblGrid>
        <w:gridCol w:w="1449"/>
        <w:gridCol w:w="1271"/>
        <w:gridCol w:w="1810"/>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2013.</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556" w:before="0" w:after="120"/>
        <w:jc w:val="center"/>
        <w:rPr>
          <w:rFonts w:ascii="Times New Roman;serif" w:hAnsi="Times New Roman;serif"/>
          <w:b/>
          <w:color w:val="000000"/>
          <w:sz w:val="20"/>
        </w:rPr>
      </w:pPr>
      <w:r>
        <w:rPr>
          <w:rFonts w:ascii="Times New Roman;serif" w:hAnsi="Times New Roman;serif"/>
          <w:b/>
          <w:color w:val="000000"/>
          <w:sz w:val="20"/>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556" w:before="0" w:after="12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Dropbox, Inc.</w:t>
      </w:r>
    </w:p>
    <w:p>
      <w:pPr>
        <w:pStyle w:val="TextBody"/>
        <w:bidi w:val="0"/>
        <w:spacing w:lineRule="auto" w:line="288" w:before="0" w:after="160"/>
        <w:jc w:val="left"/>
        <w:rPr>
          <w:rFonts w:ascii="Times New Roman;serif" w:hAnsi="Times New Roman;serif"/>
          <w:b/>
          <w:color w:val="333333"/>
          <w:sz w:val="20"/>
        </w:rPr>
      </w:pPr>
      <w:r>
        <w:rPr>
          <w:rFonts w:ascii="Times New Roman;serif" w:hAnsi="Times New Roman;serif"/>
          <w:b/>
          <w:color w:val="333333"/>
          <w:sz w:val="20"/>
        </w:rPr>
        <w:t>Opinion on Internal Control Over Financial Reporting</w:t>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We have audited Dropbox, Inc.’s internal control over financial reporting as of December 31, 2025, based on criteria established in Internal Control—Integrated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2025, based on the COSO criteria.</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deficit and cash flows for each of the three years in the period ended December 31, 2025, and the related notes and our report dated February 20, 2026 expressed an unqualified opinion thereon.</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333333"/>
          <w:sz w:val="20"/>
        </w:rPr>
      </w:pPr>
      <w:r>
        <w:rPr>
          <w:rFonts w:ascii="Times New Roman;serif" w:hAnsi="Times New Roman;serif"/>
          <w:b/>
          <w:color w:val="333333"/>
          <w:sz w:val="20"/>
        </w:rPr>
        <w:t>Basis for Opinion</w:t>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erif" w:hAnsi="Times New Roman;serif"/>
          <w:b/>
          <w:color w:val="333333"/>
          <w:sz w:val="20"/>
        </w:rPr>
      </w:pPr>
      <w:r>
        <w:rPr>
          <w:rFonts w:ascii="Times New Roman;serif" w:hAnsi="Times New Roman;serif"/>
          <w:b/>
          <w:color w:val="333333"/>
          <w:sz w:val="20"/>
        </w:rPr>
        <w:t>Definition and Limitations of Internal Control Over Financial Reporting</w:t>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333333"/>
          <w:sz w:val="20"/>
        </w:rPr>
      </w:pPr>
      <w:r>
        <w:rPr>
          <w:rFonts w:ascii="Times New Roman;serif" w:hAnsi="Times New Roman;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33333"/>
          <w:sz w:val="20"/>
        </w:rPr>
      </w:pPr>
      <w:r>
        <w:rPr>
          <w:rFonts w:ascii="Times New Roman;serif" w:hAnsi="Times New Roman;serif"/>
          <w:b w:val="false"/>
          <w:color w:val="333333"/>
          <w:sz w:val="20"/>
        </w:rPr>
        <w:t>San Francisco, California</w:t>
      </w:r>
    </w:p>
    <w:p>
      <w:pPr>
        <w:pStyle w:val="TextBody"/>
        <w:bidi w:val="0"/>
        <w:spacing w:lineRule="auto" w:line="288" w:before="0" w:after="0"/>
        <w:jc w:val="left"/>
        <w:rPr>
          <w:rFonts w:ascii="Times New Roman;serif" w:hAnsi="Times New Roman;serif"/>
          <w:b w:val="false"/>
          <w:color w:val="333333"/>
          <w:sz w:val="20"/>
        </w:rPr>
      </w:pPr>
      <w:r>
        <w:rPr>
          <w:rFonts w:ascii="Times New Roman;serif" w:hAnsi="Times New Roman;serif"/>
          <w:b w:val="false"/>
          <w:color w:val="333333"/>
          <w:sz w:val="20"/>
        </w:rPr>
        <w:t>February 20,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par value)</w:t>
      </w:r>
    </w:p>
    <w:tbl>
      <w:tblPr>
        <w:tblW w:w="10205" w:type="dxa"/>
        <w:jc w:val="left"/>
        <w:tblInd w:w="0" w:type="dxa"/>
        <w:tblLayout w:type="fixed"/>
        <w:tblCellMar>
          <w:top w:w="28" w:type="dxa"/>
          <w:left w:w="28" w:type="dxa"/>
          <w:bottom w:w="28" w:type="dxa"/>
          <w:right w:w="28" w:type="dxa"/>
        </w:tblCellMar>
      </w:tblPr>
      <w:tblGrid>
        <w:gridCol w:w="2996"/>
        <w:gridCol w:w="2371"/>
        <w:gridCol w:w="2293"/>
        <w:gridCol w:w="211"/>
        <w:gridCol w:w="766"/>
        <w:gridCol w:w="109"/>
        <w:gridCol w:w="109"/>
        <w:gridCol w:w="109"/>
        <w:gridCol w:w="109"/>
        <w:gridCol w:w="211"/>
        <w:gridCol w:w="766"/>
        <w:gridCol w:w="155"/>
      </w:tblGrid>
      <w:tr>
        <w:trPr/>
        <w:tc>
          <w:tcPr>
            <w:tcW w:w="299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$0.00001 par value; no shares authorized, issued and outstanding as of December 31, 2025; no shares authorized, issued and outstanding as of December 31,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240.0 shares authorized, and no shares issued and outstanding as of December 31, 2025; 240.0 shares authorized and no shares issued and outstanding as of December 31, 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Class A common stock - 2,400.0 shares authorized and 167.2 shares issued and outstanding as of December 31, 2025; 2,400.0 shares authorized and 218.4 shares issued and outstanding as of December 31, 2024; Class B common stock - 475.0 shares authorized and 75.7 shares issued and outstanding as of December 31, 2025; 475.0 shares authorized and 77.5 shares issued and outstanding as of December 31, 2024; Class C common stock - 800.0 shares authorized and no shares issued and outstanding as of December 31, 2025; 800.0 shares authorized and no shares issued and outstanding as of December 31,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2290"/>
        <w:gridCol w:w="1770"/>
        <w:gridCol w:w="1750"/>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229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460" w:type="dxa"/>
            <w:gridSpan w:val="6"/>
            <w:tcBorders/>
          </w:tcPr>
          <w:p>
            <w:pPr>
              <w:pStyle w:val="TableContents"/>
              <w:bidi w:val="0"/>
              <w:spacing w:before="0" w:after="283"/>
              <w:jc w:val="left"/>
              <w:rPr>
                <w:sz w:val="4"/>
                <w:szCs w:val="4"/>
              </w:rPr>
            </w:pPr>
            <w:r>
              <w:rPr>
                <w:sz w:val="4"/>
                <w:szCs w:val="4"/>
              </w:rPr>
            </w:r>
          </w:p>
        </w:tc>
      </w:tr>
      <w:tr>
        <w:trPr/>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(gain) loss on real estate assets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share-basic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per share attributable to common stockholders,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tbl>
      <w:tblPr>
        <w:tblW w:w="6687" w:type="dxa"/>
        <w:jc w:val="left"/>
        <w:tblInd w:w="0" w:type="dxa"/>
        <w:tblLayout w:type="fixed"/>
        <w:tblCellMar>
          <w:top w:w="28" w:type="dxa"/>
          <w:left w:w="28" w:type="dxa"/>
          <w:bottom w:w="28" w:type="dxa"/>
          <w:right w:w="28" w:type="dxa"/>
        </w:tblCellMar>
      </w:tblPr>
      <w:tblGrid>
        <w:gridCol w:w="992"/>
        <w:gridCol w:w="874"/>
        <w:gridCol w:w="878"/>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the Company's reduction in workforce such as severance, benefits and other related items during the years ended December 31, 2025, 2024, and 2023. See Note 1, "Description of the Business and Summary of Significant Accounting Policies - Reduction in Workforce" for additional information.</w:t>
      </w:r>
    </w:p>
    <w:p>
      <w:pPr>
        <w:pStyle w:val="TextBody"/>
        <w:bidi w:val="0"/>
        <w:spacing w:lineRule="auto" w:line="28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See Note 9, "Leases" for additional information.</w:t>
      </w:r>
    </w:p>
    <w:p>
      <w:pPr>
        <w:pStyle w:val="TextBody"/>
        <w:bidi w:val="0"/>
        <w:spacing w:before="0" w:after="120"/>
        <w:jc w:val="left"/>
        <w:rPr/>
      </w:pPr>
      <w:r>
        <w:rPr/>
      </w:r>
    </w:p>
    <w:p>
      <w:pPr>
        <w:pStyle w:val="TextBody"/>
        <w:bidi w:val="0"/>
        <w:spacing w:before="0" w:after="120"/>
        <w:jc w:val="left"/>
        <w:rPr/>
      </w:pPr>
      <w:r>
        <w:rPr/>
      </w:r>
    </w:p>
    <w:p>
      <w:pPr>
        <w:pStyle w:val="TextBody"/>
        <w:bidi w:val="0"/>
        <w:spacing w:before="20" w:after="120"/>
        <w:jc w:val="left"/>
        <w:rPr/>
      </w:pPr>
      <w:r>
        <w:rPr/>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bl>
      <w:tblPr>
        <w:tblW w:w="9598" w:type="dxa"/>
        <w:jc w:val="left"/>
        <w:tblInd w:w="0" w:type="dxa"/>
        <w:tblLayout w:type="fixed"/>
        <w:tblCellMar>
          <w:top w:w="28" w:type="dxa"/>
          <w:left w:w="28" w:type="dxa"/>
          <w:bottom w:w="28" w:type="dxa"/>
          <w:right w:w="28" w:type="dxa"/>
        </w:tblCellMar>
      </w:tblPr>
      <w:tblGrid>
        <w:gridCol w:w="2048"/>
        <w:gridCol w:w="1795"/>
        <w:gridCol w:w="1812"/>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and losses on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bl>
      <w:tblPr>
        <w:tblW w:w="11465" w:type="dxa"/>
        <w:jc w:val="left"/>
        <w:tblInd w:w="0" w:type="dxa"/>
        <w:tblLayout w:type="fixed"/>
        <w:tblCellMar>
          <w:top w:w="28" w:type="dxa"/>
          <w:left w:w="28" w:type="dxa"/>
          <w:bottom w:w="28" w:type="dxa"/>
          <w:right w:w="28" w:type="dxa"/>
        </w:tblCellMar>
      </w:tblPr>
      <w:tblGrid>
        <w:gridCol w:w="537"/>
        <w:gridCol w:w="406"/>
        <w:gridCol w:w="408"/>
        <w:gridCol w:w="225"/>
        <w:gridCol w:w="225"/>
        <w:gridCol w:w="226"/>
        <w:gridCol w:w="109"/>
        <w:gridCol w:w="109"/>
        <w:gridCol w:w="109"/>
        <w:gridCol w:w="215"/>
        <w:gridCol w:w="445"/>
        <w:gridCol w:w="121"/>
        <w:gridCol w:w="109"/>
        <w:gridCol w:w="109"/>
        <w:gridCol w:w="109"/>
        <w:gridCol w:w="285"/>
        <w:gridCol w:w="286"/>
        <w:gridCol w:w="192"/>
        <w:gridCol w:w="109"/>
        <w:gridCol w:w="109"/>
        <w:gridCol w:w="109"/>
        <w:gridCol w:w="266"/>
        <w:gridCol w:w="406"/>
        <w:gridCol w:w="109"/>
        <w:gridCol w:w="109"/>
        <w:gridCol w:w="109"/>
        <w:gridCol w:w="109"/>
        <w:gridCol w:w="196"/>
        <w:gridCol w:w="706"/>
        <w:gridCol w:w="109"/>
        <w:gridCol w:w="109"/>
        <w:gridCol w:w="109"/>
        <w:gridCol w:w="109"/>
        <w:gridCol w:w="235"/>
        <w:gridCol w:w="849"/>
        <w:gridCol w:w="132"/>
        <w:gridCol w:w="109"/>
        <w:gridCol w:w="109"/>
        <w:gridCol w:w="109"/>
        <w:gridCol w:w="344"/>
        <w:gridCol w:w="845"/>
        <w:gridCol w:w="192"/>
        <w:gridCol w:w="109"/>
        <w:gridCol w:w="109"/>
        <w:gridCol w:w="109"/>
        <w:gridCol w:w="225"/>
        <w:gridCol w:w="812"/>
        <w:gridCol w:w="179"/>
      </w:tblGrid>
      <w:tr>
        <w:trPr/>
        <w:tc>
          <w:tcPr>
            <w:tcW w:w="5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6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349.4</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(2,772.1)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awards</w:t>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336.7</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2,598.0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(2,742.3)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awards</w:t>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295.9</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(3,146.5)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(752.4)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awards</w:t>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242.9</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(3,815.1)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(1,797.2)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bl>
      <w:tblPr>
        <w:tblW w:w="9565" w:type="dxa"/>
        <w:jc w:val="center"/>
        <w:tblInd w:w="0" w:type="dxa"/>
        <w:tblLayout w:type="fixed"/>
        <w:tblCellMar>
          <w:top w:w="28" w:type="dxa"/>
          <w:left w:w="28" w:type="dxa"/>
          <w:bottom w:w="28" w:type="dxa"/>
          <w:right w:w="28" w:type="dxa"/>
        </w:tblCellMar>
      </w:tblPr>
      <w:tblGrid>
        <w:gridCol w:w="2222"/>
        <w:gridCol w:w="1949"/>
        <w:gridCol w:w="1964"/>
        <w:gridCol w:w="199"/>
        <w:gridCol w:w="566"/>
        <w:gridCol w:w="109"/>
        <w:gridCol w:w="109"/>
        <w:gridCol w:w="109"/>
        <w:gridCol w:w="109"/>
        <w:gridCol w:w="196"/>
        <w:gridCol w:w="691"/>
        <w:gridCol w:w="109"/>
        <w:gridCol w:w="109"/>
        <w:gridCol w:w="109"/>
        <w:gridCol w:w="109"/>
        <w:gridCol w:w="196"/>
        <w:gridCol w:w="55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 from operating activities </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real estate assets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equity investments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 allowance reimbursement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investing activities</w:t>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equity investments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from equipment rebates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financing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indemnification holdback</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58"/>
        <w:gridCol w:w="2158"/>
        <w:gridCol w:w="2170"/>
        <w:gridCol w:w="196"/>
        <w:gridCol w:w="556"/>
        <w:gridCol w:w="109"/>
        <w:gridCol w:w="109"/>
        <w:gridCol w:w="109"/>
        <w:gridCol w:w="109"/>
        <w:gridCol w:w="196"/>
        <w:gridCol w:w="691"/>
        <w:gridCol w:w="109"/>
        <w:gridCol w:w="109"/>
        <w:gridCol w:w="109"/>
        <w:gridCol w:w="109"/>
        <w:gridCol w:w="196"/>
        <w:gridCol w:w="556"/>
        <w:gridCol w:w="156"/>
      </w:tblGrid>
      <w:tr>
        <w:trPr/>
        <w:tc>
          <w:tcPr>
            <w:tcW w:w="2458"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December 31,</w:t>
            </w:r>
          </w:p>
        </w:tc>
      </w:tr>
      <w:tr>
        <w:trPr/>
        <w:tc>
          <w:tcPr>
            <w:tcW w:w="6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amounts on condensed consolidated balance sheets - end of period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 included in 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 included in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 </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most significant estimates and judgments are related to the accounting for income taxes. </w:t>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Financial information about segments and 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and allocates resources as a single operating segment. Further, the Company manages, monitors, and reports its financial information as a single reportable segment. See Note 15 "Segment Information and Geographic Areas" for additional information.</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Foreign currency transactions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realized from foreign currency transactions (those transactions denominated in currencies other than the foreign subsidiaries’ functional currency) are included in other income (loss), net. Monetary assets and liabilities are remeasured using foreign currency exchange rates at the end of the period, and non-monetary assets are remeasured based on historical exchange rates. Foreign currency transaction gains or losses were immaterial during the years ended December 31, 2025 and 2024.</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derives its revenue from the sale of subscriptions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Recognition of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The Company recognized $725.5 million,</w:t>
      </w:r>
      <w:r>
        <w:rPr>
          <w:color w:val="000000"/>
          <w:shd w:fill="FFFFFF" w:val="clear"/>
        </w:rPr>
        <w:t xml:space="preserve"> </w:t>
      </w:r>
      <w:r>
        <w:rPr>
          <w:rFonts w:ascii="Times New Roman;serif" w:hAnsi="Times New Roman;serif"/>
          <w:b w:val="false"/>
          <w:color w:val="000000"/>
          <w:sz w:val="20"/>
          <w:shd w:fill="FFFFFF" w:val="clear"/>
        </w:rPr>
        <w:t>$724.0</w:t>
      </w:r>
      <w:r>
        <w:rPr>
          <w:color w:val="000000"/>
        </w:rPr>
        <w:t xml:space="preserve"> </w:t>
      </w:r>
      <w:r>
        <w:rPr>
          <w:rFonts w:ascii="Times New Roman;serif" w:hAnsi="Times New Roman;serif"/>
          <w:b w:val="false"/>
          <w:color w:val="000000"/>
          <w:sz w:val="20"/>
        </w:rPr>
        <w:t xml:space="preserve">million and </w:t>
      </w:r>
      <w:r>
        <w:rPr>
          <w:rFonts w:ascii="Times New Roman;serif" w:hAnsi="Times New Roman;serif"/>
          <w:b w:val="false"/>
          <w:color w:val="000000"/>
          <w:sz w:val="20"/>
          <w:shd w:fill="FFFFFF" w:val="clear"/>
        </w:rPr>
        <w:t>$701.6</w:t>
      </w:r>
      <w:r>
        <w:rPr>
          <w:color w:val="000000"/>
        </w:rPr>
        <w:t xml:space="preserve"> </w:t>
      </w:r>
      <w:r>
        <w:rPr>
          <w:rFonts w:ascii="Times New Roman;serif" w:hAnsi="Times New Roman;serif"/>
          <w:b w:val="false"/>
          <w:color w:val="000000"/>
          <w:sz w:val="20"/>
        </w:rPr>
        <w:t>million of revenue during the years ended December 31, 2025, 2024 and 2023,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As of December 31, 2025, future estimated revenue related to performance obligations that were unsatisfied or partially unsatisfied was </w:t>
      </w:r>
      <w:r>
        <w:rPr>
          <w:rFonts w:ascii="Times New Roman;serif" w:hAnsi="Times New Roman;serif"/>
          <w:b w:val="false"/>
          <w:color w:val="000000"/>
          <w:sz w:val="20"/>
          <w:shd w:fill="FFFFFF" w:val="clear"/>
        </w:rPr>
        <w:t>$800.9</w:t>
      </w:r>
      <w:r>
        <w:rPr>
          <w:color w:val="000000"/>
        </w:rPr>
        <w:t xml:space="preserve"> </w:t>
      </w:r>
      <w:r>
        <w:rPr>
          <w:rFonts w:ascii="Times New Roman;serif" w:hAnsi="Times New Roman;serif"/>
          <w:b w:val="false"/>
          <w:color w:val="000000"/>
          <w:sz w:val="20"/>
        </w:rPr>
        <w:t>million. The substantial majority of the unsatisfied performance obligations will be satisfied over the next twelve months.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grants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the Co-Founder Grant of 10.3 million shares of Class A common stock in the form of RSAs to Drew Houston, the Company's co-founder and Chief Executive Officer.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pStyle w:val="TextBody"/>
        <w:bidi w:val="0"/>
        <w:spacing w:lineRule="auto" w:line="288" w:before="12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0"/>
        <w:ind w:left="0" w:right="0" w:firstLine="495"/>
        <w:jc w:val="left"/>
        <w:rPr/>
      </w:pPr>
      <w:r>
        <w:rPr/>
      </w:r>
    </w:p>
    <w:p>
      <w:pPr>
        <w:pStyle w:val="TextBody"/>
        <w:bidi w:val="0"/>
        <w:spacing w:lineRule="auto" w:line="288" w:before="0" w:after="180"/>
        <w:ind w:left="0" w:right="0" w:firstLine="495"/>
        <w:jc w:val="left"/>
        <w:rPr>
          <w:rFonts w:ascii="Times New Roman;serif" w:hAnsi="Times New Roman;serif"/>
          <w:b/>
          <w:i/>
          <w:color w:val="000000"/>
          <w:sz w:val="20"/>
        </w:rPr>
      </w:pPr>
      <w:r>
        <w:rPr>
          <w:rFonts w:ascii="Times New Roman;serif" w:hAnsi="Times New Roman;serif"/>
          <w:b/>
          <w:i/>
          <w:color w:val="000000"/>
          <w:sz w:val="20"/>
        </w:rPr>
        <w:t>Reductions in Workforce</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2024 Reduction in Workforce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announced a global workforce reduction of approximately 20% to streamline its team structure and better align with long-term growth and profitability objectives. As of December 31, 2025, total related cash expenditures were $65.2 million, which included the pro rata fiscal year 2024 annual employee bonus through October 30, 2024. The Company recognized $50.9 million of related expenses, primarily consisting of severance, employee benefits, and related costs.</w:t>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These severance and related charges are included within the Company's consolidated statements of operations for the years ended December 31, 2025 and 2024 as follows:</w:t>
      </w:r>
    </w:p>
    <w:tbl>
      <w:tblPr>
        <w:tblW w:w="4239" w:type="dxa"/>
        <w:jc w:val="left"/>
        <w:tblInd w:w="0" w:type="dxa"/>
        <w:tblLayout w:type="fixed"/>
        <w:tblCellMar>
          <w:top w:w="28" w:type="dxa"/>
          <w:left w:w="28" w:type="dxa"/>
          <w:bottom w:w="28" w:type="dxa"/>
          <w:right w:w="28" w:type="dxa"/>
        </w:tblCellMar>
      </w:tblPr>
      <w:tblGrid>
        <w:gridCol w:w="835"/>
        <w:gridCol w:w="736"/>
        <w:gridCol w:w="739"/>
        <w:gridCol w:w="211"/>
        <w:gridCol w:w="406"/>
        <w:gridCol w:w="109"/>
        <w:gridCol w:w="109"/>
        <w:gridCol w:w="109"/>
        <w:gridCol w:w="109"/>
        <w:gridCol w:w="211"/>
        <w:gridCol w:w="51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changes in liabilities resulting from the severance charges and related costs were as follows:</w:t>
      </w:r>
    </w:p>
    <w:tbl>
      <w:tblPr>
        <w:tblW w:w="5385" w:type="dxa"/>
        <w:jc w:val="left"/>
        <w:tblInd w:w="0" w:type="dxa"/>
        <w:tblLayout w:type="fixed"/>
        <w:tblCellMar>
          <w:top w:w="28" w:type="dxa"/>
          <w:left w:w="28" w:type="dxa"/>
          <w:bottom w:w="28" w:type="dxa"/>
          <w:right w:w="28" w:type="dxa"/>
        </w:tblCellMar>
      </w:tblPr>
      <w:tblGrid>
        <w:gridCol w:w="1022"/>
        <w:gridCol w:w="898"/>
        <w:gridCol w:w="900"/>
        <w:gridCol w:w="701"/>
        <w:gridCol w:w="1349"/>
        <w:gridCol w:w="515"/>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 and Related Costs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payments</w:t>
            </w:r>
            <w:r>
              <w:rPr>
                <w:rFonts w:ascii="Times New Roman;serif" w:hAnsi="Times New Roman;serif"/>
                <w:b w:val="false"/>
                <w:color w:val="000000"/>
                <w:sz w:val="13"/>
              </w:rPr>
              <w:t>(1)</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For the year ended December 31, 2025, total cash payments were $13.2 million when including the pro rata amount of the fiscal year 2024 annual employee bonus.</w:t>
      </w:r>
    </w:p>
    <w:p>
      <w:pPr>
        <w:pStyle w:val="TextBody"/>
        <w:bidi w:val="0"/>
        <w:spacing w:before="0" w:after="0"/>
        <w:ind w:left="0" w:right="0" w:firstLine="450"/>
        <w:jc w:val="left"/>
        <w:rPr/>
      </w:pPr>
      <w:r>
        <w:rPr/>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2023 Reduction in Workforce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27, 2023, the Company announced a reduction of its global workforce by approximately 16% to streamline its team structure in support of its long-term growth and profitability objectives. During the year ended December 31, 2023, the Company incurred $39.3 million in charges in connection with the reduction in workforce, primarily consisting of cash expenditures for severance payments, employee benefits and related costs.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severance charges are included within the Company's consolidated statements of operations for the year ended December 31, 2023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tbl>
      <w:tblPr>
        <w:tblW w:w="3186" w:type="dxa"/>
        <w:jc w:val="left"/>
        <w:tblInd w:w="0" w:type="dxa"/>
        <w:tblLayout w:type="fixed"/>
        <w:tblCellMar>
          <w:top w:w="28" w:type="dxa"/>
          <w:left w:w="28" w:type="dxa"/>
          <w:bottom w:w="28" w:type="dxa"/>
          <w:right w:w="28" w:type="dxa"/>
        </w:tblCellMar>
      </w:tblPr>
      <w:tblGrid>
        <w:gridCol w:w="835"/>
        <w:gridCol w:w="736"/>
        <w:gridCol w:w="739"/>
        <w:gridCol w:w="211"/>
        <w:gridCol w:w="51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there were no outstanding liabilities related to severance charges and related accruals.</w:t>
      </w:r>
    </w:p>
    <w:p>
      <w:pPr>
        <w:pStyle w:val="TextBody"/>
        <w:bidi w:val="0"/>
        <w:spacing w:before="0" w:after="12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Advertising and promotional expense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Advertising and promotional expenses are primarily included in sales and marketing expenses within the consolidated statements of operations and are expensed when incurred. Advertising and promotional expenses were $81.8 million, $142.6 million, and $131.7 million during the years ended December 31, 2025, 2024, and 2023, respectively.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Restricted cash relates to cash collateral used to secure outstanding letters of credit primarily for the Company’s office lease agreements. The Company had restricted cash of $14.6 million and $32.2 million as of December 31, 2025 and December 31, 2024, respectively.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 xml:space="preserve">Short-term investments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primarily comprised of corporate notes and obligations, U.S. Treasury securities, asset-backed securities,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income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2025. As of December 31, 2025 and 2024,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Trade accounts receivable are typically unsecured and are derived from revenue earned from customers located around the world. One </w:t>
      </w:r>
      <w:r>
        <w:rPr>
          <w:rFonts w:ascii="Times New Roman;serif" w:hAnsi="Times New Roman;serif"/>
          <w:b w:val="false"/>
          <w:color w:val="000000"/>
          <w:sz w:val="20"/>
          <w:shd w:fill="FFFFFF" w:val="clear"/>
        </w:rPr>
        <w:t>distribution partner accounted for</w:t>
      </w:r>
      <w:r>
        <w:rPr>
          <w:color w:val="000000"/>
        </w:rPr>
        <w:t xml:space="preserve"> </w:t>
      </w:r>
      <w:r>
        <w:rPr>
          <w:rFonts w:ascii="Times New Roman;serif" w:hAnsi="Times New Roman;serif"/>
          <w:b w:val="false"/>
          <w:color w:val="000000"/>
          <w:sz w:val="20"/>
        </w:rPr>
        <w:t>47% of</w:t>
      </w:r>
      <w:r>
        <w:rPr>
          <w:color w:val="000000"/>
          <w:shd w:fill="FFFFFF" w:val="clear"/>
        </w:rPr>
        <w:t xml:space="preserve"> </w:t>
      </w:r>
      <w:r>
        <w:rPr>
          <w:rFonts w:ascii="Times New Roman;serif" w:hAnsi="Times New Roman;serif"/>
          <w:b w:val="false"/>
          <w:color w:val="000000"/>
          <w:sz w:val="20"/>
          <w:shd w:fill="FFFFFF" w:val="clear"/>
        </w:rPr>
        <w:t xml:space="preserve">total trade and other receivables, net as of December 31, 2025.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distribution partners accounted for</w:t>
      </w:r>
      <w:r>
        <w:rPr>
          <w:color w:val="000000"/>
        </w:rPr>
        <w:t xml:space="preserve"> </w:t>
      </w:r>
      <w:r>
        <w:rPr>
          <w:rFonts w:ascii="Times New Roman;serif" w:hAnsi="Times New Roman;serif"/>
          <w:b w:val="false"/>
          <w:color w:val="000000"/>
          <w:sz w:val="20"/>
        </w:rPr>
        <w:t>11% and 48% o</w:t>
      </w:r>
      <w:r>
        <w:rPr>
          <w:rFonts w:ascii="Times New Roman;serif" w:hAnsi="Times New Roman;serif"/>
          <w:b w:val="false"/>
          <w:color w:val="000000"/>
          <w:sz w:val="20"/>
          <w:shd w:fill="FFFFFF" w:val="clear"/>
        </w:rPr>
        <w:t xml:space="preserve">f total trade and other receivables, net as of December 31, 2024. </w:t>
      </w:r>
      <w:r>
        <w:rPr>
          <w:rFonts w:ascii="Times New Roman;serif" w:hAnsi="Times New Roman;serif"/>
          <w:b w:val="false"/>
          <w:color w:val="000000"/>
          <w:sz w:val="20"/>
        </w:rPr>
        <w:t>No customer accounted for more than 10% of the Company’s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 xml:space="preserve">Trade and other receivables, net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Trade and other receivables, net consists primarily of trade receivables that are recorded at the invoice amount, net of an allowance for expected credit losses.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immaterial as of December 31, 2025 and 2024, respectively.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Non-trade receivables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non-trade receivables to reflect amounts due for activities outside of its subscription agreements, such as indemnification assets and receivables from tenants. Non-trade receivables totaled $2.2 million and $5.0 million, as of December 31, 2025 and 2024, respectively, and are classified within prepaid expenses and other current assets in the accompanying consolidated balance sheets. See Note 9 "Leases" for additional information.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Deferred commissions, net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consolidated balance sheets. The Company deferred incremental costs of obtaining a contract of $18.2 million and $28.1 million during the years ended December 31, 2025 and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Deferred commissions, net included in prepaid and other current assets were $17.1 million and $21.3 million as of December 31, 2025 and 2024, respectively. Deferred commissions, net included in other assets were $18.4 million and $21.9 million as of December 31, 2025 and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$25.9 million, $30.3 million and $38.6 million for the years ended December 31, 2025, 2024 and 2023 respectively. Amortization of deferred commissions costs are included in sales and marketing expense in the accompanying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3"/>
        <w:gridCol w:w="1313"/>
        <w:gridCol w:w="185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the Company's Virtual First work model, Dropbox has retained a portion of its office space for in-person collaboration while the remainder will be subleased. The Company recorded a gain of $1.3 million during the year ended December 31, 2025, primarily resulting from a reduction of the liability for unrecoverable common area maintenance costs related to its San Francisco, California corporate headquarters due to recent sublease activity. See Note 16 "Subsequent Events" for additional information. The Company recorded total impairment charges of $0.1 million and $3.6 million during the years ended December 31, 2024 and 2023, respectively, related to real estate assets as a result of changes in the corporate real estate market which impacted the Company's subleasing strategy in conjunction with the Virtual First work model.</w:t>
      </w:r>
    </w:p>
    <w:p>
      <w:pPr>
        <w:pStyle w:val="TextBody"/>
        <w:bidi w:val="0"/>
        <w:spacing w:before="0" w:after="0"/>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2023, the Company executed an amendment to partially terminate the lease ("the lease amendment") for its San Francisco, California corporate headquarters. 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finance lease agreements may contain lease and non-lease components. The non-lease components include payments for support related to infrastructure equipment obtained via finance leases, which are combined with the lease components and accounted for together as a single lease component.</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Internal use software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capitalizes certain costs related to developed or modified software solely for its internal use and cloud-based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2025, 2024 and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bidi w:val="0"/>
        <w:spacing w:before="120" w:after="283"/>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Long-lived assets, including goodwill and other acquired intangible assets, net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at least annually in the fourth quarter, or more frequently if events or changes in circumstances would more likely than not reduce the fair value of its single reporting unit below its carrying value. At December 31, 2025, the single reporting unit had a negative carrying value of net assets. Goodwill allocated to the single reporting unit was $454.9 million at December 31,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material impairment charges related to goodwill or intangible assets for the periods presented in these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of 2017 ("TCJA") subjects a U.S. shareholder to current tax on global intangible low-taxed income ("GILTI") earned by foreign subsidiaries. The Company accounts for GILTI as a period cost as incurred.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TextBody"/>
        <w:bidi w:val="0"/>
        <w:spacing w:lineRule="auto" w:line="288" w:before="0" w:after="60"/>
        <w:jc w:val="left"/>
        <w:rPr/>
      </w:pPr>
      <w:r>
        <w:rPr>
          <w:rFonts w:ascii="Times New Roman;serif" w:hAnsi="Times New Roman;serif"/>
          <w:b w:val="false"/>
          <w:i/>
          <w:color w:val="000000"/>
          <w:sz w:val="20"/>
        </w:rPr>
        <w:t>Level 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erif" w:hAnsi="Times New Roman;serif"/>
          <w:b w:val="false"/>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erif" w:hAnsi="Times New Roman;serif"/>
          <w:b w:val="false"/>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of disaggregated information about the types of 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within annual periods beginning after December 15, 2027, with early adoption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The amendments in ASU 2024-04 are effective for annual periods beginning after December 15, 2025, and interim periods within those annual reporting periods. Early adoption is permitted for all entities that have adopted the amendments in ASU 2020-06. The Company is currently evaluating the impact of this standard on the Company's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which provides a practical expedient when estimating expected credit 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The amendments in ASU 2025-05 are effective for annual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after December 15, 2025, and interim periods within those annual reporting periods. Early adoption is permitted. The Company is currently evaluating the impact of this standard on the Company's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to current development practices, clarifies when to 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existing interim reporting disclosure requirements, including the form and content of interim financial statements, and establishes a principle requiring disclosure of material events and changes since the most recent annual reporting period. The amendments in ASU 2025-11 are effective for interim reporting periods within annual periods beginning after December 15, 2027. Early adoption is permitted. The Company is currently evaluating the impact of this standard on the Company’s consolidated financial statements and related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to enhance income tax disclosures primarily through changes in rate reconciliation and income taxes paid disclosures. The Company adopted ASU 2023-09 for the year ended December 31, 2025 and applied the guidance retrospectively to all periods presented. The Company has included the enhanced disclosures required by this guidance in Note 14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amortized cost, unrealized gains and losses and estimated fair value of the Company's cash, cash equivalents and short-term investments as of December 31, 2025 and 2024 consisted of the following:</w:t>
      </w:r>
    </w:p>
    <w:p>
      <w:pPr>
        <w:pStyle w:val="TextBody"/>
        <w:bidi w:val="0"/>
        <w:spacing w:before="0" w:after="0"/>
        <w:ind w:left="0" w:right="0" w:firstLine="495"/>
        <w:jc w:val="left"/>
        <w:rPr/>
      </w:pPr>
      <w:r>
        <w:rPr/>
      </w:r>
    </w:p>
    <w:tbl>
      <w:tblPr>
        <w:tblW w:w="10069" w:type="dxa"/>
        <w:jc w:val="center"/>
        <w:tblInd w:w="0" w:type="dxa"/>
        <w:tblLayout w:type="fixed"/>
        <w:tblCellMar>
          <w:top w:w="28" w:type="dxa"/>
          <w:left w:w="28" w:type="dxa"/>
          <w:bottom w:w="28" w:type="dxa"/>
          <w:right w:w="28" w:type="dxa"/>
        </w:tblCellMar>
      </w:tblPr>
      <w:tblGrid>
        <w:gridCol w:w="986"/>
        <w:gridCol w:w="865"/>
        <w:gridCol w:w="879"/>
        <w:gridCol w:w="277"/>
        <w:gridCol w:w="1005"/>
        <w:gridCol w:w="143"/>
        <w:gridCol w:w="109"/>
        <w:gridCol w:w="109"/>
        <w:gridCol w:w="109"/>
        <w:gridCol w:w="436"/>
        <w:gridCol w:w="838"/>
        <w:gridCol w:w="226"/>
        <w:gridCol w:w="109"/>
        <w:gridCol w:w="109"/>
        <w:gridCol w:w="109"/>
        <w:gridCol w:w="418"/>
        <w:gridCol w:w="834"/>
        <w:gridCol w:w="217"/>
        <w:gridCol w:w="109"/>
        <w:gridCol w:w="109"/>
        <w:gridCol w:w="109"/>
        <w:gridCol w:w="366"/>
        <w:gridCol w:w="1331"/>
        <w:gridCol w:w="267"/>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495"/>
        <w:jc w:val="left"/>
        <w:rPr/>
      </w:pPr>
      <w:r>
        <w:rPr/>
      </w:r>
    </w:p>
    <w:tbl>
      <w:tblPr>
        <w:tblW w:w="10069" w:type="dxa"/>
        <w:jc w:val="left"/>
        <w:tblInd w:w="0" w:type="dxa"/>
        <w:tblLayout w:type="fixed"/>
        <w:tblCellMar>
          <w:top w:w="28" w:type="dxa"/>
          <w:left w:w="28" w:type="dxa"/>
          <w:bottom w:w="28" w:type="dxa"/>
          <w:right w:w="28" w:type="dxa"/>
        </w:tblCellMar>
      </w:tblPr>
      <w:tblGrid>
        <w:gridCol w:w="986"/>
        <w:gridCol w:w="865"/>
        <w:gridCol w:w="879"/>
        <w:gridCol w:w="277"/>
        <w:gridCol w:w="1005"/>
        <w:gridCol w:w="143"/>
        <w:gridCol w:w="109"/>
        <w:gridCol w:w="109"/>
        <w:gridCol w:w="109"/>
        <w:gridCol w:w="436"/>
        <w:gridCol w:w="838"/>
        <w:gridCol w:w="226"/>
        <w:gridCol w:w="109"/>
        <w:gridCol w:w="109"/>
        <w:gridCol w:w="109"/>
        <w:gridCol w:w="418"/>
        <w:gridCol w:w="834"/>
        <w:gridCol w:w="217"/>
        <w:gridCol w:w="109"/>
        <w:gridCol w:w="109"/>
        <w:gridCol w:w="109"/>
        <w:gridCol w:w="366"/>
        <w:gridCol w:w="1331"/>
        <w:gridCol w:w="267"/>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cash and cash equivalents is cash in transit from payment processors for credit and debit card transactions of $8.1 million and $9.9 million as of December 31, 2025 and 2024,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All short-term investments were designated as available-for-sale securities as of December 31, 2025 and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the Company’s short-term investments as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left"/>
        <w:rPr/>
      </w:pPr>
      <w:r>
        <w:rPr/>
      </w:r>
    </w:p>
    <w:tbl>
      <w:tblPr>
        <w:tblW w:w="6220" w:type="dxa"/>
        <w:jc w:val="center"/>
        <w:tblInd w:w="0" w:type="dxa"/>
        <w:tblLayout w:type="fixed"/>
        <w:tblCellMar>
          <w:top w:w="28" w:type="dxa"/>
          <w:left w:w="28" w:type="dxa"/>
          <w:bottom w:w="28" w:type="dxa"/>
          <w:right w:w="28" w:type="dxa"/>
        </w:tblCellMar>
      </w:tblPr>
      <w:tblGrid>
        <w:gridCol w:w="957"/>
        <w:gridCol w:w="838"/>
        <w:gridCol w:w="845"/>
        <w:gridCol w:w="310"/>
        <w:gridCol w:w="908"/>
        <w:gridCol w:w="161"/>
        <w:gridCol w:w="109"/>
        <w:gridCol w:w="109"/>
        <w:gridCol w:w="109"/>
        <w:gridCol w:w="402"/>
        <w:gridCol w:w="1176"/>
        <w:gridCol w:w="296"/>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three years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three years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76 short-term investments in unrealized loss positions as of December 31, 2025. There were no material gains or losses from short-term investments that were reclassified out of accumulated other comprehensive income (loss) for the years ended December 31, 2025 or 2024.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short-term investments portfolio consisted of six security types, four of which were in an unrealized loss position. The Company’s short-term investments had unrealized losses of approximately $1.0 million as of December 31, 2025. The following tables present the breakdown of the short-term investments that have been in a continuous unrealized loss position aggregated by investment category, as of December 31, 2025 and 2024: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582"/>
        <w:gridCol w:w="510"/>
        <w:gridCol w:w="513"/>
        <w:gridCol w:w="239"/>
        <w:gridCol w:w="460"/>
        <w:gridCol w:w="123"/>
        <w:gridCol w:w="109"/>
        <w:gridCol w:w="109"/>
        <w:gridCol w:w="109"/>
        <w:gridCol w:w="410"/>
        <w:gridCol w:w="789"/>
        <w:gridCol w:w="212"/>
        <w:gridCol w:w="109"/>
        <w:gridCol w:w="109"/>
        <w:gridCol w:w="109"/>
        <w:gridCol w:w="226"/>
        <w:gridCol w:w="549"/>
        <w:gridCol w:w="116"/>
        <w:gridCol w:w="109"/>
        <w:gridCol w:w="109"/>
        <w:gridCol w:w="109"/>
        <w:gridCol w:w="402"/>
        <w:gridCol w:w="801"/>
        <w:gridCol w:w="208"/>
        <w:gridCol w:w="109"/>
        <w:gridCol w:w="109"/>
        <w:gridCol w:w="109"/>
        <w:gridCol w:w="217"/>
        <w:gridCol w:w="634"/>
        <w:gridCol w:w="111"/>
        <w:gridCol w:w="109"/>
        <w:gridCol w:w="109"/>
        <w:gridCol w:w="109"/>
        <w:gridCol w:w="390"/>
        <w:gridCol w:w="780"/>
        <w:gridCol w:w="298"/>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701"/>
        <w:gridCol w:w="481"/>
        <w:gridCol w:w="484"/>
        <w:gridCol w:w="224"/>
        <w:gridCol w:w="543"/>
        <w:gridCol w:w="115"/>
        <w:gridCol w:w="109"/>
        <w:gridCol w:w="109"/>
        <w:gridCol w:w="109"/>
        <w:gridCol w:w="384"/>
        <w:gridCol w:w="767"/>
        <w:gridCol w:w="199"/>
        <w:gridCol w:w="109"/>
        <w:gridCol w:w="109"/>
        <w:gridCol w:w="109"/>
        <w:gridCol w:w="216"/>
        <w:gridCol w:w="631"/>
        <w:gridCol w:w="111"/>
        <w:gridCol w:w="109"/>
        <w:gridCol w:w="109"/>
        <w:gridCol w:w="109"/>
        <w:gridCol w:w="384"/>
        <w:gridCol w:w="767"/>
        <w:gridCol w:w="199"/>
        <w:gridCol w:w="109"/>
        <w:gridCol w:w="109"/>
        <w:gridCol w:w="109"/>
        <w:gridCol w:w="216"/>
        <w:gridCol w:w="631"/>
        <w:gridCol w:w="111"/>
        <w:gridCol w:w="109"/>
        <w:gridCol w:w="109"/>
        <w:gridCol w:w="109"/>
        <w:gridCol w:w="374"/>
        <w:gridCol w:w="748"/>
        <w:gridCol w:w="284"/>
      </w:tblGrid>
      <w:tr>
        <w:trPr/>
        <w:tc>
          <w:tcPr>
            <w:tcW w:w="7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recorded interest income from its cash, cash equivalents, and short-term investments of $36.2 million, $39.0 million and $34.6 million during the years ended December 31,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tbl>
      <w:tblPr>
        <w:tblW w:w="7297" w:type="dxa"/>
        <w:jc w:val="center"/>
        <w:tblInd w:w="0" w:type="dxa"/>
        <w:tblLayout w:type="fixed"/>
        <w:tblCellMar>
          <w:top w:w="28" w:type="dxa"/>
          <w:left w:w="28" w:type="dxa"/>
          <w:bottom w:w="28" w:type="dxa"/>
          <w:right w:w="28" w:type="dxa"/>
        </w:tblCellMar>
      </w:tblPr>
      <w:tblGrid>
        <w:gridCol w:w="988"/>
        <w:gridCol w:w="869"/>
        <w:gridCol w:w="872"/>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597" w:type="dxa"/>
        <w:jc w:val="center"/>
        <w:tblInd w:w="0" w:type="dxa"/>
        <w:tblLayout w:type="fixed"/>
        <w:tblCellMar>
          <w:top w:w="28" w:type="dxa"/>
          <w:left w:w="28" w:type="dxa"/>
          <w:bottom w:w="28" w:type="dxa"/>
          <w:right w:w="28" w:type="dxa"/>
        </w:tblCellMar>
      </w:tblPr>
      <w:tblGrid>
        <w:gridCol w:w="988"/>
        <w:gridCol w:w="869"/>
        <w:gridCol w:w="872"/>
        <w:gridCol w:w="211"/>
        <w:gridCol w:w="76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restricted cash held at banks, accounts receivable and accounts payable approximate fair value due to their short-term maturities and are excluded from the fair value table above.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$695.8 million in aggregate principal amount of 0% convertible senior notes due in 2026 (the "2026 Notes"), and $693.3 million in aggregate principal amount of 0% convertible senior notes due in 2028 (the "2028 Notes"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together with the 2026 Notes, the "Notes"), outstanding as of December 31, 2025. Refer to Note 8 "Debt"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2026 Notes and the 2028 Notes, based on a market approach as of December 31, 2025 was approximately $699.3 million and $701.6 million, respectively. The Notes were categorized as Level 2 instruments as the estimated fair value was determined based on the trading activity of the Notes in an over-the-counter market on the last business day of the period.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had $1,488.3 million of term loans outstanding with a carrying value of $1,448.7 million as of December 31, 2025. Refer to Note 8 "Debt" for additional information. As of December 31, 2025, the fair value of the term loans approximated the carrying value as of such date. The term loans are categorized as Level 2 instruments as the estimated fair value was determined based on the borrowing rates currently available to the Company for bank loans with similar terms and maturities.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before="0" w:after="0"/>
        <w:ind w:left="0" w:right="0" w:firstLine="495"/>
        <w:jc w:val="left"/>
        <w:rPr/>
      </w:pPr>
      <w:r>
        <w:rPr/>
      </w:r>
    </w:p>
    <w:tbl>
      <w:tblPr>
        <w:tblW w:w="5768" w:type="dxa"/>
        <w:jc w:val="center"/>
        <w:tblInd w:w="0" w:type="dxa"/>
        <w:tblLayout w:type="fixed"/>
        <w:tblCellMar>
          <w:top w:w="28" w:type="dxa"/>
          <w:left w:w="28" w:type="dxa"/>
          <w:bottom w:w="28" w:type="dxa"/>
          <w:right w:w="28" w:type="dxa"/>
        </w:tblCellMar>
      </w:tblPr>
      <w:tblGrid>
        <w:gridCol w:w="1277"/>
        <w:gridCol w:w="1120"/>
        <w:gridCol w:w="1127"/>
        <w:gridCol w:w="211"/>
        <w:gridCol w:w="616"/>
        <w:gridCol w:w="109"/>
        <w:gridCol w:w="109"/>
        <w:gridCol w:w="109"/>
        <w:gridCol w:w="109"/>
        <w:gridCol w:w="211"/>
        <w:gridCol w:w="61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The Company leases certain infrastructure, computer equipment, and furniture from various third parties, through finance leases. Infrastructure assets as of December 31, 2025 and 2024 included a total of</w:t>
      </w:r>
      <w:r>
        <w:rPr>
          <w:color w:val="000000"/>
          <w:shd w:fill="FFFFFF" w:val="clear"/>
        </w:rPr>
        <w:t xml:space="preserve"> </w:t>
      </w:r>
      <w:r>
        <w:rPr>
          <w:rFonts w:ascii="Times New Roman;serif" w:hAnsi="Times New Roman;serif"/>
          <w:b w:val="false"/>
          <w:color w:val="000000"/>
          <w:sz w:val="20"/>
        </w:rPr>
        <w:t>$485.5</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$501.1</w:t>
      </w:r>
      <w:r>
        <w:rPr>
          <w:color w:val="000000"/>
        </w:rPr>
        <w:t xml:space="preserve"> </w:t>
      </w:r>
      <w:r>
        <w:rPr>
          <w:rFonts w:ascii="Times New Roman;serif" w:hAnsi="Times New Roman;serif"/>
          <w:b w:val="false"/>
          <w:color w:val="000000"/>
          <w:sz w:val="20"/>
        </w:rPr>
        <w:t>million, respectively, acquired under finance lease agreements. These leases are capitalized in property and equipment, and the related depreciation of assets under finance leases is included in depreciation expense. The accumulated depreciation of the equipment under finance leases totaled $183.8</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and $223.3 million as of December 31, 2025 and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Depreciation expense related to property and equipment was</w:t>
      </w:r>
      <w:r>
        <w:rPr>
          <w:color w:val="000000"/>
          <w:shd w:fill="FFFFFF" w:val="clear"/>
        </w:rPr>
        <w:t xml:space="preserve"> </w:t>
      </w:r>
      <w:r>
        <w:rPr>
          <w:rFonts w:ascii="Times New Roman;serif" w:hAnsi="Times New Roman;serif"/>
          <w:b w:val="false"/>
          <w:color w:val="000000"/>
          <w:sz w:val="20"/>
          <w:shd w:fill="FFFFFF" w:val="clear"/>
        </w:rPr>
        <w:t>$131.6 million and $109.3</w:t>
      </w:r>
      <w:r>
        <w:rPr>
          <w:color w:val="000000"/>
        </w:rPr>
        <w:t xml:space="preserve"> </w:t>
      </w:r>
      <w:r>
        <w:rPr>
          <w:rFonts w:ascii="Times New Roman;serif" w:hAnsi="Times New Roman;serif"/>
          <w:b w:val="false"/>
          <w:color w:val="000000"/>
          <w:sz w:val="20"/>
        </w:rPr>
        <w:t>million for the years ended December 31, 2025 and 2024,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5.Business Combinations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2024 Business Combination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26, 2024, the Company completed the acquisition of Reclaim.ai Inc. (“Reclaim”) and entered into employment arrangements with its employees. Reclaim is an AI-powered calendar application that helps users optimize their schedules for better productivity, collaboration, and work-life balance. The Company paid $40.2 million in cash. The Company recorded $30.6 million of goodwill and $13.4 million of intangible assets resulting from the transaction. The goodwill is not expected to be deductible for income tax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6.Intangible Assets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9458" w:type="dxa"/>
        <w:jc w:val="center"/>
        <w:tblInd w:w="0" w:type="dxa"/>
        <w:tblLayout w:type="fixed"/>
        <w:tblCellMar>
          <w:top w:w="28" w:type="dxa"/>
          <w:left w:w="28" w:type="dxa"/>
          <w:bottom w:w="28" w:type="dxa"/>
          <w:right w:w="28" w:type="dxa"/>
        </w:tblCellMar>
      </w:tblPr>
      <w:tblGrid>
        <w:gridCol w:w="1283"/>
        <w:gridCol w:w="1125"/>
        <w:gridCol w:w="1132"/>
        <w:gridCol w:w="438"/>
        <w:gridCol w:w="1059"/>
        <w:gridCol w:w="228"/>
        <w:gridCol w:w="109"/>
        <w:gridCol w:w="109"/>
        <w:gridCol w:w="109"/>
        <w:gridCol w:w="449"/>
        <w:gridCol w:w="1087"/>
        <w:gridCol w:w="234"/>
        <w:gridCol w:w="109"/>
        <w:gridCol w:w="109"/>
        <w:gridCol w:w="109"/>
        <w:gridCol w:w="517"/>
        <w:gridCol w:w="517"/>
        <w:gridCol w:w="735"/>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useful life</w:t>
              <w:br/>
              <w:t>(In years)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 in asset acquisitions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$25.9 million, $27.8 million and $30.4 million for the years ended December 31, 2025, 2024 and 2023,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Expected future amortization expense for intangible assets as of December 31, 2025 is as follows:</w:t>
      </w:r>
    </w:p>
    <w:p>
      <w:pPr>
        <w:pStyle w:val="TextBody"/>
        <w:bidi w:val="0"/>
        <w:spacing w:before="0" w:after="0"/>
        <w:ind w:left="0" w:right="0" w:firstLine="495"/>
        <w:jc w:val="left"/>
        <w:rPr/>
      </w:pPr>
      <w:r>
        <w:rPr/>
      </w:r>
    </w:p>
    <w:tbl>
      <w:tblPr>
        <w:tblW w:w="2490" w:type="dxa"/>
        <w:jc w:val="center"/>
        <w:tblInd w:w="0" w:type="dxa"/>
        <w:tblLayout w:type="fixed"/>
        <w:tblCellMar>
          <w:top w:w="28" w:type="dxa"/>
          <w:left w:w="28" w:type="dxa"/>
          <w:bottom w:w="28" w:type="dxa"/>
          <w:right w:w="28" w:type="dxa"/>
        </w:tblCellMar>
      </w:tblPr>
      <w:tblGrid>
        <w:gridCol w:w="342"/>
        <w:gridCol w:w="300"/>
        <w:gridCol w:w="304"/>
        <w:gridCol w:w="370"/>
        <w:gridCol w:w="900"/>
        <w:gridCol w:w="27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7.Goodwill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tangible and intangible assets acquired. The changes in the carrying amounts of goodwill were as follows:</w:t>
      </w:r>
    </w:p>
    <w:tbl>
      <w:tblPr>
        <w:tblW w:w="4086" w:type="dxa"/>
        <w:jc w:val="center"/>
        <w:tblInd w:w="0" w:type="dxa"/>
        <w:tblLayout w:type="fixed"/>
        <w:tblCellMar>
          <w:top w:w="28" w:type="dxa"/>
          <w:left w:w="28" w:type="dxa"/>
          <w:bottom w:w="28" w:type="dxa"/>
          <w:right w:w="28" w:type="dxa"/>
        </w:tblCellMar>
      </w:tblPr>
      <w:tblGrid>
        <w:gridCol w:w="1125"/>
        <w:gridCol w:w="989"/>
        <w:gridCol w:w="991"/>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Goodwill amounts are not amortized, but tested for impairment on an annual basis. There was no impairment of goodwill during the periods ended December 31, 2025, 2024 and 2023.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8.Debt</w:t>
      </w:r>
    </w:p>
    <w:p>
      <w:pPr>
        <w:pStyle w:val="TextBody"/>
        <w:bidi w:val="0"/>
        <w:spacing w:before="0" w:after="0"/>
        <w:ind w:left="0" w:right="0" w:firstLine="360"/>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2024, the Company entered into a secured five-year term loan facility under a Credit and Guaranty Agreement (the “initial Credit Agreement”), providing up to $2.0 billion in aggregate principal, consisting of $1.0 billion of initial term loans (the “initial term loans”) and $1.0 billion of initial delayed draw term loan commitments (the “initial delayed draw term loan commitments”). The initial Credit Agreement also includes a secured letter of credit facility of up to $35.0 million.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entered into Amendment No. 1 (the “First Amendment”) to its initial Credit Agreement (collectively, the “Amended Credit Agreement”) to add $700.0 million in delayed draw term loan commitments (the “2025 delayed draw term loans”). The Amended Credit Agreement now provides a secured term loan facility of $2.7 billion (collectively, the “term loan facility”). The term loan facility is guaranteed by certain material subsidiaries and secured by substantially all assets of the Company and such subsidiary guarantors.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borrowed $1.0 billion of initial term loans under the facility. The term loans are measured at amortized cost on the consolidated balance sheets. Issuance costs of $27.6 million were deducted from the carrying value and are amortized and recognized as a component of interest expense over the five-year term using the effective interest method. Additional deferred issuance costs of $25.1 million and $8.4 million related to the initial delayed draw term loan commitments and 2025 delayed draw term loans, respectively, were recognized initially as deferred assets and are reclassified and presented as a reduction of the carrying value of the debt upon draw, and are amortized over the remaining term on an effective interest method basis from the time of draw. Issuance costs of $0.2 million related to the secured letter of credit facility were recognized as a prepaid asset and are amortized over the five-year access period on a straight-line basis.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initial term loans and initial delayed draw term loans (if and when funded) shall have the same terms and shall be treated as a single fungible class of term loans for all purposes under the Amended Credit Agreement, except that interest on any initial delayed draw term loan shall commence from the applicable date of the draw. As of December 31, 2025, $500.0 million was drawn on the initial delayed draw term loan commitments and $500.0 million remained available. The remaining initial delayed draw term loan commitments are available through December 11, 2026 and draws must be at least $5.0 million. As of December 31, 2025, $17.5 million of letters of credit were issued and $17.5 million remains to be issued under the letter of credit facility. As of December 31, 2025, no amounts were drawn on the letter of credit facility.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$700.0 million 2025 delayed draw term loan commitments are available through March 15, 2026, and the proceeds when drawn may be used solely to prepay, repay, repurchase, redeem, exchange, or settle upon conversion the 2026 Notes. As of December 31, 2025, no amounts were drawn on the 2025 delayed draw term loans.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Amended Credit Agreement, the Company is required to pay quarterly commitment fees of 1.00% per annum on the unused portions of both delayed draw term loan commitments. These fees will be capitalized each reporting period, as the draws are probable of occurring and will be reclassified against the carrying value of the respective debt upon draw and amortized over the respective debt terms on an effective interest method basis from the time of draw. The 2025 delayed draw term loan commitment fees started accruing on the unused portion three months after the effective date of the First Amendment. As of December 31, 2025, $4.8 million of deferred issuance costs related to commitment fees were reclassified and presented as a reduction of the carrying value of the related debt, with $5.5 million remaining as a deferred issuance cost asset related to the commitment fee.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loans mature on December 11, 2029, with quarterly principal payments of 0.25% of the original principal amount or such greater percentage as may be required to make the initial delayed draw term loans fungible with any then-outstanding term loans. Quarterly principal payments began on March 31, 2025 and will continue on the last business day of each quarter thereafter. The 2025 delayed draw term loans mature on September 9, 2030, with quarterly repayments of 0.25% of the original principal amount beginning on the last business day of the quarter after the funding of such loans and continuing thereafter. Prepayments are permitted at any time, in whole or in part, subject to premiums of 2.00% of the aggregate principal amount prepaid on or within one year of the closing date for the initial Credit Agreement (or the effective date of the First Amendment in the case of the 2025 delayed draw term loans) and 1.00% of such amount prepaid after one year but on or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two years from the closing date for the initial Credit Agreement (or the effective date of the First Amendment in the case of the 2025 delayed draw term loans). Any amounts repaid or prepaid may not be reborrowed. Mandatory prepayments on the term loan facility may be required upon the occurrence of certain events as defined in the Amended Credit Agreement, which the Company considers remote as of December 31, 2025.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term loan facility as of December 31, 2025 and December 31, 2024:</w:t>
      </w:r>
    </w:p>
    <w:tbl>
      <w:tblPr>
        <w:tblW w:w="3486" w:type="dxa"/>
        <w:jc w:val="left"/>
        <w:tblInd w:w="0" w:type="dxa"/>
        <w:tblLayout w:type="fixed"/>
        <w:tblCellMar>
          <w:top w:w="28" w:type="dxa"/>
          <w:left w:w="28" w:type="dxa"/>
          <w:bottom w:w="28" w:type="dxa"/>
          <w:right w:w="28" w:type="dxa"/>
        </w:tblCellMar>
      </w:tblPr>
      <w:tblGrid>
        <w:gridCol w:w="852"/>
        <w:gridCol w:w="750"/>
        <w:gridCol w:w="753"/>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 3.75% margin. Interest is payable quarterly in arrears with respect to borrowings bearing interest at the alternate base rate on the last business day of an interest period, but at most monthly and at least quarterly, with respect to overnight and term SOFR rate borrowings.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associated with the term loan facility for the years ended December 31, 2025 and 2024, was $93.2 million and $5.2 million, respectively, with such interest expense consisting of interest expense on the outstanding principal of the term loan facility and amortization of issuance costs.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allows for additional term loan facilities or increased commitments, subject to certain conditions and limits. It includes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December 31, 2025.</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on the Company’s term loan facility are as follows:</w:t>
      </w:r>
    </w:p>
    <w:p>
      <w:pPr>
        <w:pStyle w:val="TextBody"/>
        <w:bidi w:val="0"/>
        <w:spacing w:before="0" w:after="0"/>
        <w:ind w:left="0" w:right="0" w:firstLine="495"/>
        <w:jc w:val="left"/>
        <w:rPr/>
      </w:pPr>
      <w:r>
        <w:rPr/>
      </w:r>
    </w:p>
    <w:tbl>
      <w:tblPr>
        <w:tblW w:w="2825" w:type="dxa"/>
        <w:jc w:val="left"/>
        <w:tblInd w:w="0" w:type="dxa"/>
        <w:tblLayout w:type="fixed"/>
        <w:tblCellMar>
          <w:top w:w="28" w:type="dxa"/>
          <w:left w:w="28" w:type="dxa"/>
          <w:bottom w:w="28" w:type="dxa"/>
          <w:right w:w="28" w:type="dxa"/>
        </w:tblCellMar>
      </w:tblPr>
      <w:tblGrid>
        <w:gridCol w:w="612"/>
        <w:gridCol w:w="537"/>
        <w:gridCol w:w="545"/>
        <w:gridCol w:w="211"/>
        <w:gridCol w:w="76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December 31, 2025. The 2026 Notes will mature on March 1, 2026, and the 2028 Notes will mature on March 1, 2028, in each case,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December 31, 2025. For the majority of the year ended December 31, 2025, the conditions allowing holders of the Notes to convert during the following fiscal quarter were not met. However, beginning December 1, 2025, holders of the 2026 Notes may convert their Notes at any time until maturity, regardless of conditions. As of December 31, 2025, no Notes have been converted.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December 1, 2027, the 2028 Notes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2028 Notes on each applicable trading day; (2) during the five business day period after any five consecutive trading day period in which, for each trading day of that period, the trading price per $1,000 principal amount of 2028 Notes for such trading day was less than 98% of the product of the last reported sale price of the Class A common stock and the conversion rate for the 2028 Notes on each such trading day; (3) if the Company calls any or all of the 2028 Notes for redemption, the Notes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or after December 1, 2027, until the close of business on the second scheduled trading day immediately preceding the relevant maturity date, holders of the 2028 Notes may convert all or a portion of their Notes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redeem for cash all or any part of the 2028 Notes, at its option, on or after March 6, 2025, if the last reported sale price of its Class A common stock has been at least 130% of the conversion price for the 2028 Notes then in effect for at least 20 trading days (whether or not consecutive) during any 30 consecutive trading day period (including the last trading day of such period) ending on, and including, the trading day immediately preceding the date on which the Company provides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of redemption at a redemption price equal to 100% of the principal amount of the 2028 Notes to be redeemed, plus any accrued and unpaid special interest to, but excluding, the redemption date. No sinking fund is provided for the 2028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Notes as of December 31, 2025 and 2024.</w:t>
      </w:r>
    </w:p>
    <w:p>
      <w:pPr>
        <w:pStyle w:val="TextBody"/>
        <w:bidi w:val="0"/>
        <w:spacing w:before="0" w:after="0"/>
        <w:ind w:left="0" w:right="0" w:firstLine="495"/>
        <w:jc w:val="left"/>
        <w:rPr/>
      </w:pPr>
      <w:r>
        <w:rPr/>
      </w:r>
    </w:p>
    <w:tbl>
      <w:tblPr>
        <w:tblW w:w="6208" w:type="dxa"/>
        <w:jc w:val="left"/>
        <w:tblInd w:w="0" w:type="dxa"/>
        <w:tblLayout w:type="fixed"/>
        <w:tblCellMar>
          <w:top w:w="28" w:type="dxa"/>
          <w:left w:w="28" w:type="dxa"/>
          <w:bottom w:w="28" w:type="dxa"/>
          <w:right w:w="28" w:type="dxa"/>
        </w:tblCellMar>
      </w:tblPr>
      <w:tblGrid>
        <w:gridCol w:w="852"/>
        <w:gridCol w:w="750"/>
        <w:gridCol w:w="753"/>
        <w:gridCol w:w="233"/>
        <w:gridCol w:w="681"/>
        <w:gridCol w:w="120"/>
        <w:gridCol w:w="109"/>
        <w:gridCol w:w="109"/>
        <w:gridCol w:w="109"/>
        <w:gridCol w:w="233"/>
        <w:gridCol w:w="681"/>
        <w:gridCol w:w="120"/>
        <w:gridCol w:w="109"/>
        <w:gridCol w:w="109"/>
        <w:gridCol w:w="109"/>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recognized $2.2 million in interest expense for the 2026 Notes and $1.6 million in interest expense for the 2028 Notes, respectively, with such interest expense solely consisting of amortization of issuance costs. The effective interest rate for the 2026 Notes and the 2028 Notes was 0.32% and 0.22%, respectively, as of December 31, 2025.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on the Company's convertible debt are as follows:</w:t>
      </w:r>
    </w:p>
    <w:p>
      <w:pPr>
        <w:pStyle w:val="TextBody"/>
        <w:bidi w:val="0"/>
        <w:spacing w:before="0" w:after="0"/>
        <w:ind w:left="0" w:right="0" w:firstLine="495"/>
        <w:jc w:val="left"/>
        <w:rPr/>
      </w:pPr>
      <w:r>
        <w:rPr/>
      </w:r>
    </w:p>
    <w:tbl>
      <w:tblPr>
        <w:tblW w:w="3283" w:type="dxa"/>
        <w:jc w:val="left"/>
        <w:tblInd w:w="0" w:type="dxa"/>
        <w:tblLayout w:type="fixed"/>
        <w:tblCellMar>
          <w:top w:w="28" w:type="dxa"/>
          <w:left w:w="28" w:type="dxa"/>
          <w:bottom w:w="28" w:type="dxa"/>
          <w:right w:w="28" w:type="dxa"/>
        </w:tblCellMar>
      </w:tblPr>
      <w:tblGrid>
        <w:gridCol w:w="612"/>
        <w:gridCol w:w="537"/>
        <w:gridCol w:w="545"/>
        <w:gridCol w:w="295"/>
        <w:gridCol w:w="1076"/>
        <w:gridCol w:w="218"/>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Convertible Debt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i/>
          <w:color w:val="000000"/>
          <w:sz w:val="20"/>
        </w:rPr>
      </w:pPr>
      <w:r>
        <w:rPr>
          <w:rFonts w:ascii="Times New Roman;serif" w:hAnsi="Times New Roman;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series of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2025, the Company’s stock price was below the exercise price of the respective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2025, the Company’s Class A common stock price was below the exercise price of the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Taken together, the purchase of the Note Hedges and the sale of the Warrants are intended to offset potential dilution from the conversion of the 2026 Notes and the 2028 Notes and/or reduce any cash payments the Company is required to make in excess of the principal amount of such converted Notes, as the case may be, and to effectively increase the overall conversion price from $38.25 per share to $46.36 per share and from $35.35 per share to $46.36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9.Leases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datacenters, and finance leases for infrastructure and computer equipment. The Company’s leases have remaining lease terms of under 1 year to 11 years, some of which include options to extend the leases for up to 5 years. </w:t>
      </w:r>
    </w:p>
    <w:p>
      <w:pPr>
        <w:pStyle w:val="TextBody"/>
        <w:bidi w:val="0"/>
        <w:spacing w:before="0" w:after="0"/>
        <w:ind w:left="0" w:right="0" w:firstLine="450"/>
        <w:jc w:val="left"/>
        <w:rPr/>
      </w:pPr>
      <w:r>
        <w:rPr/>
      </w:r>
    </w:p>
    <w:p>
      <w:pPr>
        <w:pStyle w:val="TextBody"/>
        <w:bidi w:val="0"/>
        <w:spacing w:lineRule="auto" w:line="417"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w:t>
      </w:r>
    </w:p>
    <w:tbl>
      <w:tblPr>
        <w:tblW w:w="5963" w:type="dxa"/>
        <w:jc w:val="left"/>
        <w:tblInd w:w="0" w:type="dxa"/>
        <w:tblLayout w:type="fixed"/>
        <w:tblCellMar>
          <w:top w:w="28" w:type="dxa"/>
          <w:left w:w="28" w:type="dxa"/>
          <w:bottom w:w="28" w:type="dxa"/>
          <w:right w:w="28" w:type="dxa"/>
        </w:tblCellMar>
      </w:tblPr>
      <w:tblGrid>
        <w:gridCol w:w="1384"/>
        <w:gridCol w:w="1216"/>
        <w:gridCol w:w="1224"/>
        <w:gridCol w:w="211"/>
        <w:gridCol w:w="616"/>
        <w:gridCol w:w="109"/>
        <w:gridCol w:w="109"/>
        <w:gridCol w:w="109"/>
        <w:gridCol w:w="109"/>
        <w:gridCol w:w="211"/>
        <w:gridCol w:w="51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assets under finance lease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Is presented gross of sublease income and includes short-term leases, which are immaterial.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8184" w:type="dxa"/>
        <w:jc w:val="center"/>
        <w:tblInd w:w="0" w:type="dxa"/>
        <w:tblLayout w:type="fixed"/>
        <w:tblCellMar>
          <w:top w:w="28" w:type="dxa"/>
          <w:left w:w="28" w:type="dxa"/>
          <w:bottom w:w="28" w:type="dxa"/>
          <w:right w:w="28" w:type="dxa"/>
        </w:tblCellMar>
      </w:tblPr>
      <w:tblGrid>
        <w:gridCol w:w="2151"/>
        <w:gridCol w:w="1890"/>
        <w:gridCol w:w="1899"/>
        <w:gridCol w:w="211"/>
        <w:gridCol w:w="616"/>
        <w:gridCol w:w="109"/>
        <w:gridCol w:w="109"/>
        <w:gridCol w:w="109"/>
        <w:gridCol w:w="109"/>
        <w:gridCol w:w="211"/>
        <w:gridCol w:w="616"/>
        <w:gridCol w:w="154"/>
      </w:tblGrid>
      <w:tr>
        <w:trPr/>
        <w:tc>
          <w:tcPr>
            <w:tcW w:w="215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operating leases included in cash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leases included in cash from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leases included in cash from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tbl>
      <w:tblPr>
        <w:tblW w:w="6581" w:type="dxa"/>
        <w:jc w:val="center"/>
        <w:tblInd w:w="0" w:type="dxa"/>
        <w:tblLayout w:type="fixed"/>
        <w:tblCellMar>
          <w:top w:w="28" w:type="dxa"/>
          <w:left w:w="28" w:type="dxa"/>
          <w:bottom w:w="28" w:type="dxa"/>
          <w:right w:w="28" w:type="dxa"/>
        </w:tblCellMar>
      </w:tblPr>
      <w:tblGrid>
        <w:gridCol w:w="1658"/>
        <w:gridCol w:w="1454"/>
        <w:gridCol w:w="1462"/>
        <w:gridCol w:w="226"/>
        <w:gridCol w:w="180"/>
        <w:gridCol w:w="355"/>
        <w:gridCol w:w="142"/>
        <w:gridCol w:w="142"/>
        <w:gridCol w:w="142"/>
        <w:gridCol w:w="226"/>
        <w:gridCol w:w="180"/>
        <w:gridCol w:w="414"/>
      </w:tblGrid>
      <w:tr>
        <w:trPr/>
        <w:tc>
          <w:tcPr>
            <w:tcW w:w="16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leases </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leases </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 Average Discount Rate </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leases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December 31, 2025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0"/>
        <w:gridCol w:w="1008"/>
        <w:gridCol w:w="1022"/>
        <w:gridCol w:w="378"/>
        <w:gridCol w:w="1105"/>
        <w:gridCol w:w="196"/>
        <w:gridCol w:w="109"/>
        <w:gridCol w:w="109"/>
        <w:gridCol w:w="109"/>
        <w:gridCol w:w="293"/>
        <w:gridCol w:w="857"/>
        <w:gridCol w:w="21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has subleases for several floors of its corporate offices. The Company classifies its subleases as operating leases. The subleases have remaining lease terms of under 1 year to 8 years, some of which include tenant options to extend the sublease for up to approximately 4 years. Sublease income, which is recorded as a reduction of rental expense, was $11.4 million and $14.0 million during the years ended December 31, 2025 and 2024,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non-cancelable rent payments from the Company's subtenants as of December 31, 2025 were as follows:</w:t>
      </w:r>
    </w:p>
    <w:p>
      <w:pPr>
        <w:pStyle w:val="TextBody"/>
        <w:bidi w:val="0"/>
        <w:spacing w:before="0" w:after="0"/>
        <w:ind w:left="0" w:right="0" w:firstLine="450"/>
        <w:jc w:val="left"/>
        <w:rPr/>
      </w:pPr>
      <w:r>
        <w:rPr/>
      </w:r>
    </w:p>
    <w:tbl>
      <w:tblPr>
        <w:tblW w:w="4904" w:type="dxa"/>
        <w:jc w:val="left"/>
        <w:tblInd w:w="0" w:type="dxa"/>
        <w:tblLayout w:type="fixed"/>
        <w:tblCellMar>
          <w:top w:w="28" w:type="dxa"/>
          <w:left w:w="28" w:type="dxa"/>
          <w:bottom w:w="28" w:type="dxa"/>
          <w:right w:w="28" w:type="dxa"/>
        </w:tblCellMar>
      </w:tblPr>
      <w:tblGrid>
        <w:gridCol w:w="1209"/>
        <w:gridCol w:w="1061"/>
        <w:gridCol w:w="1075"/>
        <w:gridCol w:w="374"/>
        <w:gridCol w:w="909"/>
        <w:gridCol w:w="276"/>
      </w:tblGrid>
      <w:tr>
        <w:trPr/>
        <w:tc>
          <w:tcPr>
            <w:tcW w:w="12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14.0 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8.6 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sublease rent payments, net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2017, the Company signed a 15 year lease agreement for office space in San Francisco, California, to serve as its corporate headquarters which commenced in 2018. The Company's obligations under the lease are supported by a $17.5 million letter of credit. As of December 31, 2025, the Company's remaining minimum obligation under the lease for its headquarters was $138.6 million, which excludes $162.9 million of future payments allocated to non-lease components.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2020, the Company moved to a Virtual First work model pursuant to which remote work has become the primary experience for all of its employees. As part of the Virtual First work model,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gain of $1.3 million during the year ended December 31, 2025, primarily resulting from a reduction of the liability for unrecoverable common area maintenance costs related to its San Francisco, California corporate headquarters due to recent sublease activity. See Note 16 "Subsequent Events" for additional information. The Company recorded total impairment charges of $0.1 million and $3.6 million during the years ended December 31, 2024 and 2023, respectively, for right-of-use and other lease related assets.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2023, the Company amended its San Francisco corporate headquarters lease to surrender approximately 165,000 square feet of office space in exchange for aggregate termination payments of $79.0 million, payable in three tranches through January 2025. In January 2025, the Company completed the final tranche of the lease amendment, surrendering the remaining 59,000 square feet of space and paying the remaining $36.0 million termination fee.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The gain was recorded within net (gain) loss on real estate assets in the consolidated statement of operations.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Company's lease liability associated with its corporate headquarters lease was $108.2 million. The liability for unrecoverable common area maintenance costs totaled $26.7 million, compared to $51.7 million as of December 31, 2024. The liability for unrecoverable common area maintenance costs is recorded within accrued and other current liabilities and other liabilities.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Note 10.Commitments and Contingencies</w:t>
      </w:r>
    </w:p>
    <w:p>
      <w:pPr>
        <w:pStyle w:val="TextBody"/>
        <w:bidi w:val="0"/>
        <w:spacing w:before="0" w:after="0"/>
        <w:ind w:left="0" w:right="0" w:hanging="360"/>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 xml:space="preserve">Other commitments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commitments include payments to third-party vendors for services related to the Company's infrastructure, infrastructure warranty contracts, and asset retirement obligations for office modifications.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payments under the Company's non-cancelable leases, finance lease obligations, and other commitments as of December 31, 2025, are as follows, and exclude non-cancelable rent payments from the Company's subtenants: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27"/>
        <w:gridCol w:w="1428"/>
        <w:gridCol w:w="1434"/>
        <w:gridCol w:w="280"/>
        <w:gridCol w:w="820"/>
        <w:gridCol w:w="146"/>
        <w:gridCol w:w="109"/>
        <w:gridCol w:w="109"/>
        <w:gridCol w:w="109"/>
        <w:gridCol w:w="539"/>
        <w:gridCol w:w="1573"/>
        <w:gridCol w:w="279"/>
        <w:gridCol w:w="109"/>
        <w:gridCol w:w="109"/>
        <w:gridCol w:w="109"/>
        <w:gridCol w:w="341"/>
        <w:gridCol w:w="829"/>
        <w:gridCol w:w="255"/>
      </w:tblGrid>
      <w:tr>
        <w:trPr/>
        <w:tc>
          <w:tcPr>
            <w:tcW w:w="16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w:t>
              <w:br/>
              <w:t>lease</w:t>
              <w:b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 commitments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pPr>
            <w:r>
              <w:rPr>
                <w:rFonts w:ascii="Times New Roman;serif" w:hAnsi="Times New Roman;serif"/>
                <w:b/>
                <w:color w:val="000000"/>
                <w:sz w:val="20"/>
              </w:rPr>
              <w:t>commitments</w:t>
            </w:r>
            <w:r>
              <w:rPr>
                <w:rFonts w:ascii="Times New Roman;serif" w:hAnsi="Times New Roman;serif"/>
                <w:b/>
                <w:color w:val="000000"/>
                <w:sz w:val="13"/>
              </w:rPr>
              <w:t>(2)</w:t>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minimum payments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and taxes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the present value of minimum lease payments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obligations, net of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pPr>
      <w:r>
        <w:rPr>
          <w:rFonts w:ascii="Times New Roman;serif" w:hAnsi="Times New Roman;serif"/>
          <w:b w:val="false"/>
          <w:color w:val="000000"/>
          <w:sz w:val="14"/>
        </w:rPr>
        <w:t xml:space="preserve">(1) </w:t>
      </w:r>
      <w:r>
        <w:rPr>
          <w:rFonts w:ascii="Times New Roman;serif" w:hAnsi="Times New Roman;serif"/>
          <w:b w:val="false"/>
          <w:color w:val="000000"/>
          <w:sz w:val="18"/>
        </w:rPr>
        <w:t>This balance includes short-term lease obligations and $162.9 million of future contractual rent payments allocated to non-lease components.</w:t>
      </w:r>
    </w:p>
    <w:p>
      <w:pPr>
        <w:pStyle w:val="TextBody"/>
        <w:bidi w:val="0"/>
        <w:spacing w:lineRule="auto" w:line="288" w:before="0" w:after="0"/>
        <w:jc w:val="left"/>
        <w:rPr/>
      </w:pPr>
      <w:r>
        <w:rPr>
          <w:rFonts w:ascii="Times New Roman;serif" w:hAnsi="Times New Roman;serif"/>
          <w:b w:val="false"/>
          <w:color w:val="000000"/>
          <w:sz w:val="14"/>
        </w:rPr>
        <w:t xml:space="preserve">(2) </w:t>
      </w:r>
      <w:r>
        <w:rPr>
          <w:rFonts w:ascii="Times New Roman;serif" w:hAnsi="Times New Roman;serif"/>
          <w:b w:val="false"/>
          <w:color w:val="000000"/>
          <w:sz w:val="18"/>
        </w:rPr>
        <w:t>This balance excludes indemnification and founder holdbacks related to our acquisitions.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11.</w:t>
      </w:r>
      <w:r>
        <w:rPr>
          <w:color w:val="000000"/>
        </w:rPr>
        <w:t xml:space="preserve"> </w:t>
      </w:r>
      <w:r>
        <w:rPr>
          <w:rFonts w:ascii="Times New Roman;serif" w:hAnsi="Times New Roman;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5724" w:type="dxa"/>
        <w:jc w:val="center"/>
        <w:tblInd w:w="0" w:type="dxa"/>
        <w:tblLayout w:type="fixed"/>
        <w:tblCellMar>
          <w:top w:w="28" w:type="dxa"/>
          <w:left w:w="28" w:type="dxa"/>
          <w:bottom w:w="28" w:type="dxa"/>
          <w:right w:w="28" w:type="dxa"/>
        </w:tblCellMar>
      </w:tblPr>
      <w:tblGrid>
        <w:gridCol w:w="1261"/>
        <w:gridCol w:w="1107"/>
        <w:gridCol w:w="1112"/>
        <w:gridCol w:w="211"/>
        <w:gridCol w:w="616"/>
        <w:gridCol w:w="109"/>
        <w:gridCol w:w="109"/>
        <w:gridCol w:w="109"/>
        <w:gridCol w:w="109"/>
        <w:gridCol w:w="211"/>
        <w:gridCol w:w="61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other external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indemnification holdbacks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and current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12.Stockholders’ Deficit</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authorized 2,400.0 million shares of Class A common stock, 475.0 million shares of Class B common stock, and 800.0 million shares of Class C common stock, each at par value of $0.00001. Holders of Class B common stock voluntarily converted 1.7 million and 3.2 million shares into an equivalent number of shares of Class A common stock during the years ended December 31, 2025 and 2024,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As of December 31, 2025, 167.2 million shares of Class A common stock, 75.7 million shares of Class B common stock, and no shares of Class C common stock were issued and outstanding. As of December 31, 2024, 218.4 million shares of Class A common stock, 77.5 million shares of Class B common stock, and no shares of Class C common stock were issued and outstanding. Class A shares issued and outstanding as of December 31, 2025 and 2024 exclude unvested restricted stock awards granted to certain executives, including 8.3 million unvested restricted stock awards granted to one of the Company's co-founders</w:t>
      </w:r>
      <w:r>
        <w:rPr>
          <w:rFonts w:ascii="Times New Roman;serif" w:hAnsi="Times New Roman;serif"/>
          <w:b w:val="false"/>
          <w:color w:val="000000"/>
          <w:sz w:val="20"/>
          <w:shd w:fill="FFFFFF" w:val="clear"/>
        </w:rPr>
        <w:t xml:space="preserve">. See "Co-Founder Grant" section below for additional information.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2022, the Board of Directors authorized a $1.2 billion share repurchase program, which the Company completed during the three months ended March 31, 2024. In July 2023, the Board of Directors authorized an additional $1.2 billion share repurchase program, which the Company completed during the three months ended March 31, 2025. In December 2024, the Board of Directors authorized a third $1.2 billion program, which the Company completed during the three months ended December 31, 2025. In August 2025, the Board of Directors authorized a fourth $1.5 billion share repurchase program, under which the Company continues to repurchase shares.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the Company to repurchase any specific number of shares and may be discontinued at any time.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During the year ended December 31, 2025, the Company repurchased and subsequently retired 60.4 million shares of its Class A common stock for an aggregate amount of $1.7 billion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During the year ended December 31, 2024, the Company repurchased and subsequently retired 49.5 million shares of its Class A common stock, for an aggregate amount of $1.2 billion</w:t>
      </w:r>
      <w:r>
        <w:rPr>
          <w:rFonts w:ascii="Times New Roman;serif" w:hAnsi="Times New Roman;serif"/>
          <w:b w:val="false"/>
          <w:color w:val="000000"/>
          <w:sz w:val="20"/>
          <w:shd w:fill="FFFFFF" w:val="clear"/>
        </w:rPr>
        <w:t xml:space="preserve">. Included in the cost of treasury stock acquired pursuant to common share repurchases is the 1% excise tax imposed as part of the Inflation Reduction Act, in addition to repurchase execution costs incurred in connection with the Company’s share repurchase program.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95"/>
        <w:jc w:val="left"/>
        <w:rPr/>
      </w:pPr>
      <w:r>
        <w:rPr>
          <w:rFonts w:ascii="Times New Roman;serif" w:hAnsi="Times New Roman;serif"/>
          <w:b w:val="false"/>
          <w:color w:val="000000"/>
          <w:sz w:val="20"/>
          <w:shd w:fill="FFFFFF" w:val="clear"/>
        </w:rPr>
        <w:t xml:space="preserve">As of December 31, 2025, there were </w:t>
      </w:r>
      <w:r>
        <w:rPr>
          <w:rFonts w:ascii="Times New Roman;serif" w:hAnsi="Times New Roman;serif"/>
          <w:b w:val="false"/>
          <w:color w:val="000000"/>
          <w:sz w:val="20"/>
        </w:rPr>
        <w:t>24.9</w:t>
      </w:r>
      <w:r>
        <w:rPr>
          <w:color w:val="000000"/>
          <w:shd w:fill="FFFFFF" w:val="clear"/>
        </w:rPr>
        <w:t xml:space="preserve"> </w:t>
      </w:r>
      <w:r>
        <w:rPr>
          <w:rFonts w:ascii="Times New Roman;serif" w:hAnsi="Times New Roman;serif"/>
          <w:b w:val="false"/>
          <w:color w:val="000000"/>
          <w:sz w:val="20"/>
          <w:shd w:fill="FFFFFF" w:val="clear"/>
        </w:rPr>
        <w:t xml:space="preserve">million stock-based awards issued and outstanding and </w:t>
      </w:r>
      <w:r>
        <w:rPr>
          <w:rFonts w:ascii="Times New Roman;serif" w:hAnsi="Times New Roman;serif"/>
          <w:b w:val="false"/>
          <w:color w:val="000000"/>
          <w:sz w:val="20"/>
        </w:rPr>
        <w:t>131.0</w:t>
      </w:r>
      <w:r>
        <w:rPr>
          <w:color w:val="000000"/>
          <w:shd w:fill="FFFFFF" w:val="clear"/>
        </w:rPr>
        <w:t xml:space="preserve"> </w:t>
      </w:r>
      <w:r>
        <w:rPr>
          <w:rFonts w:ascii="Times New Roman;serif" w:hAnsi="Times New Roman;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and restricted stock activity for the Plans was as follows for the years ended December 31, 2025 and 2024: </w:t>
      </w:r>
    </w:p>
    <w:p>
      <w:pPr>
        <w:pStyle w:val="TextBody"/>
        <w:bidi w:val="0"/>
        <w:spacing w:before="0" w:after="0"/>
        <w:ind w:left="0" w:right="0" w:firstLine="495"/>
        <w:jc w:val="left"/>
        <w:rPr/>
      </w:pPr>
      <w:r>
        <w:rPr/>
      </w:r>
    </w:p>
    <w:tbl>
      <w:tblPr>
        <w:tblW w:w="10415" w:type="dxa"/>
        <w:jc w:val="center"/>
        <w:tblInd w:w="0" w:type="dxa"/>
        <w:tblLayout w:type="fixed"/>
        <w:tblCellMar>
          <w:top w:w="28" w:type="dxa"/>
          <w:left w:w="28" w:type="dxa"/>
          <w:bottom w:w="28" w:type="dxa"/>
          <w:right w:w="28" w:type="dxa"/>
        </w:tblCellMar>
      </w:tblPr>
      <w:tblGrid>
        <w:gridCol w:w="637"/>
        <w:gridCol w:w="296"/>
        <w:gridCol w:w="298"/>
        <w:gridCol w:w="375"/>
        <w:gridCol w:w="375"/>
        <w:gridCol w:w="376"/>
        <w:gridCol w:w="109"/>
        <w:gridCol w:w="109"/>
        <w:gridCol w:w="109"/>
        <w:gridCol w:w="360"/>
        <w:gridCol w:w="360"/>
        <w:gridCol w:w="361"/>
        <w:gridCol w:w="109"/>
        <w:gridCol w:w="109"/>
        <w:gridCol w:w="109"/>
        <w:gridCol w:w="216"/>
        <w:gridCol w:w="632"/>
        <w:gridCol w:w="113"/>
        <w:gridCol w:w="109"/>
        <w:gridCol w:w="109"/>
        <w:gridCol w:w="109"/>
        <w:gridCol w:w="340"/>
        <w:gridCol w:w="340"/>
        <w:gridCol w:w="341"/>
        <w:gridCol w:w="109"/>
        <w:gridCol w:w="109"/>
        <w:gridCol w:w="109"/>
        <w:gridCol w:w="274"/>
        <w:gridCol w:w="529"/>
        <w:gridCol w:w="143"/>
        <w:gridCol w:w="109"/>
        <w:gridCol w:w="109"/>
        <w:gridCol w:w="109"/>
        <w:gridCol w:w="360"/>
        <w:gridCol w:w="360"/>
        <w:gridCol w:w="361"/>
        <w:gridCol w:w="109"/>
        <w:gridCol w:w="109"/>
        <w:gridCol w:w="109"/>
        <w:gridCol w:w="216"/>
        <w:gridCol w:w="631"/>
        <w:gridCol w:w="159"/>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w:t>
              <w:br/>
              <w:t>outstanding</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exercise</w:t>
              <w:br/>
              <w:t>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fair value</w:t>
              <w:br/>
              <w:t>per share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canceled / expired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at December 31, 2025</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pre-tax intrinsic value of options exercised during the years ended December 31, 2025 and 2024:</w:t>
      </w:r>
    </w:p>
    <w:p>
      <w:pPr>
        <w:pStyle w:val="TextBody"/>
        <w:bidi w:val="0"/>
        <w:spacing w:before="0" w:after="0"/>
        <w:ind w:left="0" w:right="0" w:firstLine="495"/>
        <w:jc w:val="left"/>
        <w:rPr/>
      </w:pPr>
      <w:r>
        <w:rPr/>
      </w:r>
    </w:p>
    <w:tbl>
      <w:tblPr>
        <w:tblW w:w="5543" w:type="dxa"/>
        <w:jc w:val="left"/>
        <w:tblInd w:w="0" w:type="dxa"/>
        <w:tblLayout w:type="fixed"/>
        <w:tblCellMar>
          <w:top w:w="28" w:type="dxa"/>
          <w:left w:w="28" w:type="dxa"/>
          <w:bottom w:w="28" w:type="dxa"/>
          <w:right w:w="28" w:type="dxa"/>
        </w:tblCellMar>
      </w:tblPr>
      <w:tblGrid>
        <w:gridCol w:w="1076"/>
        <w:gridCol w:w="945"/>
        <w:gridCol w:w="948"/>
        <w:gridCol w:w="109"/>
        <w:gridCol w:w="109"/>
        <w:gridCol w:w="144"/>
        <w:gridCol w:w="144"/>
        <w:gridCol w:w="280"/>
        <w:gridCol w:w="541"/>
        <w:gridCol w:w="149"/>
        <w:gridCol w:w="109"/>
        <w:gridCol w:w="109"/>
        <w:gridCol w:w="109"/>
        <w:gridCol w:w="211"/>
        <w:gridCol w:w="40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shd w:fill="FFFFFF" w:val="clear"/>
        </w:rPr>
        <w:t xml:space="preserve">As of December 31, 2025, unamortized stock-based compensation related to unvested stock options, restricted stock awards, and RSUs was </w:t>
      </w:r>
      <w:r>
        <w:rPr>
          <w:rFonts w:ascii="Times New Roman;serif" w:hAnsi="Times New Roman;serif"/>
          <w:b w:val="false"/>
          <w:color w:val="000000"/>
          <w:sz w:val="20"/>
        </w:rPr>
        <w:t>$636.7</w:t>
      </w:r>
      <w:r>
        <w:rPr>
          <w:color w:val="000000"/>
          <w:shd w:fill="FFFFFF" w:val="clear"/>
        </w:rPr>
        <w:t xml:space="preserve"> </w:t>
      </w:r>
      <w:r>
        <w:rPr>
          <w:rFonts w:ascii="Times New Roman;serif" w:hAnsi="Times New Roman;serif"/>
          <w:b w:val="false"/>
          <w:color w:val="000000"/>
          <w:sz w:val="20"/>
          <w:shd w:fill="FFFFFF" w:val="clear"/>
        </w:rPr>
        <w:t>millio</w:t>
      </w:r>
      <w:r>
        <w:rPr>
          <w:rFonts w:ascii="Times New Roman;serif" w:hAnsi="Times New Roman;serif"/>
          <w:b w:val="false"/>
          <w:color w:val="000000"/>
          <w:sz w:val="20"/>
        </w:rPr>
        <w:t>n. The weighted-average period over which such compensation expense will be recognized if the requisite service is provided is approximately 2.8 years as of December 31, 2025.</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Co-Founder Grant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the Co-Founder Grant, consisting of 10.3 million shares of Class A common stock in the form of RSAs granted to Drew Houston, the Company’s co-founder and 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Co-Founder Grant vests over ten years following the Company’s IPO, based on the achievement of stock price targets during a consecutive thirty-day trading period within the Performance Period, which began on January 1, 2019.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related to the Co-Founder Grant of $2.4 million during the year ended December 31, 2024. The stock-based compensation expense related to the Co-Founder Grant was fully recognized as of the fourth quarter of 2024.</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13.</w:t>
      </w:r>
      <w:r>
        <w:rPr>
          <w:color w:val="000000"/>
        </w:rPr>
        <w:t xml:space="preserve"> </w:t>
      </w:r>
      <w:r>
        <w:rPr>
          <w:rFonts w:ascii="Times New Roman;serif" w:hAnsi="Times New Roman;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EPS computations for the Company's common stock are calculated as follows (in millions, except for per share amounts):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3"/>
        <w:gridCol w:w="694"/>
        <w:gridCol w:w="70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51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tbl>
      <w:tblPr>
        <w:tblW w:w="6056" w:type="dxa"/>
        <w:jc w:val="center"/>
        <w:tblInd w:w="0" w:type="dxa"/>
        <w:tblLayout w:type="fixed"/>
        <w:tblCellMar>
          <w:top w:w="28" w:type="dxa"/>
          <w:left w:w="28" w:type="dxa"/>
          <w:bottom w:w="28" w:type="dxa"/>
          <w:right w:w="28" w:type="dxa"/>
        </w:tblCellMar>
      </w:tblPr>
      <w:tblGrid>
        <w:gridCol w:w="1019"/>
        <w:gridCol w:w="897"/>
        <w:gridCol w:w="903"/>
        <w:gridCol w:w="109"/>
        <w:gridCol w:w="109"/>
        <w:gridCol w:w="114"/>
        <w:gridCol w:w="114"/>
        <w:gridCol w:w="255"/>
        <w:gridCol w:w="256"/>
        <w:gridCol w:w="176"/>
        <w:gridCol w:w="114"/>
        <w:gridCol w:w="114"/>
        <w:gridCol w:w="114"/>
        <w:gridCol w:w="255"/>
        <w:gridCol w:w="256"/>
        <w:gridCol w:w="176"/>
        <w:gridCol w:w="109"/>
        <w:gridCol w:w="109"/>
        <w:gridCol w:w="109"/>
        <w:gridCol w:w="255"/>
        <w:gridCol w:w="256"/>
        <w:gridCol w:w="237"/>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075"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Company’s income from continuing operations before provision for income taxes was as follows:</w:t>
      </w:r>
    </w:p>
    <w:p>
      <w:pPr>
        <w:pStyle w:val="TextBody"/>
        <w:bidi w:val="0"/>
        <w:spacing w:before="0" w:after="0"/>
        <w:jc w:val="left"/>
        <w:rPr/>
      </w:pPr>
      <w:r>
        <w:rPr/>
      </w:r>
    </w:p>
    <w:tbl>
      <w:tblPr>
        <w:tblW w:w="5892" w:type="dxa"/>
        <w:jc w:val="center"/>
        <w:tblInd w:w="0" w:type="dxa"/>
        <w:tblLayout w:type="fixed"/>
        <w:tblCellMar>
          <w:top w:w="28" w:type="dxa"/>
          <w:left w:w="28" w:type="dxa"/>
          <w:bottom w:w="28" w:type="dxa"/>
          <w:right w:w="28" w:type="dxa"/>
        </w:tblCellMar>
      </w:tblPr>
      <w:tblGrid>
        <w:gridCol w:w="864"/>
        <w:gridCol w:w="759"/>
        <w:gridCol w:w="762"/>
        <w:gridCol w:w="211"/>
        <w:gridCol w:w="616"/>
        <w:gridCol w:w="109"/>
        <w:gridCol w:w="109"/>
        <w:gridCol w:w="109"/>
        <w:gridCol w:w="109"/>
        <w:gridCol w:w="211"/>
        <w:gridCol w:w="616"/>
        <w:gridCol w:w="109"/>
        <w:gridCol w:w="109"/>
        <w:gridCol w:w="109"/>
        <w:gridCol w:w="109"/>
        <w:gridCol w:w="211"/>
        <w:gridCol w:w="61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in the years ended December 31, 2025, 2024, and 2023, were as follows:</w:t>
      </w:r>
    </w:p>
    <w:p>
      <w:pPr>
        <w:pStyle w:val="TextBody"/>
        <w:bidi w:val="0"/>
        <w:spacing w:before="0" w:after="0"/>
        <w:jc w:val="left"/>
        <w:rPr/>
      </w:pPr>
      <w:r>
        <w:rPr/>
      </w:r>
    </w:p>
    <w:tbl>
      <w:tblPr>
        <w:tblW w:w="5907" w:type="dxa"/>
        <w:jc w:val="center"/>
        <w:tblInd w:w="0" w:type="dxa"/>
        <w:tblLayout w:type="fixed"/>
        <w:tblCellMar>
          <w:top w:w="28" w:type="dxa"/>
          <w:left w:w="28" w:type="dxa"/>
          <w:bottom w:w="28" w:type="dxa"/>
          <w:right w:w="28" w:type="dxa"/>
        </w:tblCellMar>
      </w:tblPr>
      <w:tblGrid>
        <w:gridCol w:w="850"/>
        <w:gridCol w:w="706"/>
        <w:gridCol w:w="724"/>
        <w:gridCol w:w="211"/>
        <w:gridCol w:w="691"/>
        <w:gridCol w:w="109"/>
        <w:gridCol w:w="109"/>
        <w:gridCol w:w="109"/>
        <w:gridCol w:w="109"/>
        <w:gridCol w:w="211"/>
        <w:gridCol w:w="586"/>
        <w:gridCol w:w="109"/>
        <w:gridCol w:w="109"/>
        <w:gridCol w:w="109"/>
        <w:gridCol w:w="109"/>
        <w:gridCol w:w="211"/>
        <w:gridCol w:w="691"/>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July 4, 2025, the OBBBA was enacted in the U.S. The OBBBA includes significant provisions, such as the permanent extension of certain expiring provisions of the TCJA, modifications to the international tax framework, and the restoration of favorable tax treatment for certain business provisions. The legislation reduced U.S. cash tax payments in 2025, but increased tax expense, primarily due to the reinstatement of immediate expensing for U.S. research expenditures, which decreased GILTI, eliminated the foreign-derived intangible income ("FDII") benefit, and lowered taxable income which limited the availability of certain credits.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reconciliation of income taxes at the statutory federal income tax rate to the provision for income taxes included in the accompanying consolidated statements of operations is as follows:</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446"/>
        <w:gridCol w:w="684"/>
        <w:gridCol w:w="686"/>
        <w:gridCol w:w="211"/>
        <w:gridCol w:w="650"/>
        <w:gridCol w:w="109"/>
        <w:gridCol w:w="109"/>
        <w:gridCol w:w="109"/>
        <w:gridCol w:w="109"/>
        <w:gridCol w:w="255"/>
        <w:gridCol w:w="256"/>
        <w:gridCol w:w="417"/>
        <w:gridCol w:w="109"/>
        <w:gridCol w:w="109"/>
        <w:gridCol w:w="109"/>
        <w:gridCol w:w="211"/>
        <w:gridCol w:w="650"/>
        <w:gridCol w:w="109"/>
        <w:gridCol w:w="109"/>
        <w:gridCol w:w="109"/>
        <w:gridCol w:w="109"/>
        <w:gridCol w:w="255"/>
        <w:gridCol w:w="256"/>
        <w:gridCol w:w="417"/>
        <w:gridCol w:w="109"/>
        <w:gridCol w:w="109"/>
        <w:gridCol w:w="109"/>
        <w:gridCol w:w="211"/>
        <w:gridCol w:w="650"/>
        <w:gridCol w:w="109"/>
        <w:gridCol w:w="109"/>
        <w:gridCol w:w="109"/>
        <w:gridCol w:w="109"/>
        <w:gridCol w:w="255"/>
        <w:gridCol w:w="256"/>
        <w:gridCol w:w="477"/>
      </w:tblGrid>
      <w:tr>
        <w:trPr/>
        <w:tc>
          <w:tcPr>
            <w:tcW w:w="14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statutory tax rate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benefit </w:t>
            </w:r>
            <w:r>
              <w:rPr>
                <w:rFonts w:ascii="Times New Roman;serif" w:hAnsi="Times New Roman;serif"/>
                <w:b w:val="false"/>
                <w:color w:val="000000"/>
                <w:sz w:val="13"/>
              </w:rPr>
              <w:t>(1)</w:t>
            </w:r>
            <w:r>
              <w:rPr>
                <w:color w:val="000000"/>
              </w:rPr>
              <w:t xml:space="preserve">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tax effects </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Ireland </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Statutory tax rate difference between Ireland and</w:t>
              <w:br/>
              <w:t>            the U.S.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foreign jurisdictions </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cross-border tax laws </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Global intangible low-taxed income </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Foreign-derived intangible income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tax credits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Nontaxable or nondeductible items </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Stock-based compensation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Non-deductible compensation </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unrecognized tax benefits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adjustments </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Provision for income taxes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states that contribute to the majority (greater than 50%) of the tax effect in this category include Georgia, Illinois, New Jersey, New York, Tennessee, Wisconsin for 2025, Florida, Georgia, Illinois, Maryland, New Jersey, New York, New York City, Virginia for 2024, and Florida, Georgia, Massachusetts, New York, New York City, Pennsylvania, Virginia for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consisted of the following:</w:t>
      </w:r>
    </w:p>
    <w:tbl>
      <w:tblPr>
        <w:tblW w:w="6777" w:type="dxa"/>
        <w:jc w:val="left"/>
        <w:tblInd w:w="0" w:type="dxa"/>
        <w:tblLayout w:type="fixed"/>
        <w:tblCellMar>
          <w:top w:w="28" w:type="dxa"/>
          <w:left w:w="28" w:type="dxa"/>
          <w:bottom w:w="28" w:type="dxa"/>
          <w:right w:w="28" w:type="dxa"/>
        </w:tblCellMar>
      </w:tblPr>
      <w:tblGrid>
        <w:gridCol w:w="1317"/>
        <w:gridCol w:w="1151"/>
        <w:gridCol w:w="1117"/>
        <w:gridCol w:w="211"/>
        <w:gridCol w:w="511"/>
        <w:gridCol w:w="109"/>
        <w:gridCol w:w="109"/>
        <w:gridCol w:w="109"/>
        <w:gridCol w:w="109"/>
        <w:gridCol w:w="211"/>
        <w:gridCol w:w="511"/>
        <w:gridCol w:w="109"/>
        <w:gridCol w:w="109"/>
        <w:gridCol w:w="109"/>
        <w:gridCol w:w="109"/>
        <w:gridCol w:w="211"/>
        <w:gridCol w:w="511"/>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Federal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State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Foreign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Ireland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Foreign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components of the Company’s deferred tax assets and liabilities as of December 31, 2025 and 2024 were as follows: </w:t>
      </w:r>
    </w:p>
    <w:p>
      <w:pPr>
        <w:pStyle w:val="TextBody"/>
        <w:bidi w:val="0"/>
        <w:spacing w:before="0" w:after="0"/>
        <w:jc w:val="left"/>
        <w:rPr/>
      </w:pPr>
      <w:r>
        <w:rPr/>
      </w:r>
    </w:p>
    <w:tbl>
      <w:tblPr>
        <w:tblW w:w="6563" w:type="dxa"/>
        <w:jc w:val="center"/>
        <w:tblInd w:w="0" w:type="dxa"/>
        <w:tblLayout w:type="fixed"/>
        <w:tblCellMar>
          <w:top w:w="28" w:type="dxa"/>
          <w:left w:w="28" w:type="dxa"/>
          <w:bottom w:w="28" w:type="dxa"/>
          <w:right w:w="28" w:type="dxa"/>
        </w:tblCellMar>
      </w:tblPr>
      <w:tblGrid>
        <w:gridCol w:w="1567"/>
        <w:gridCol w:w="1374"/>
        <w:gridCol w:w="1378"/>
        <w:gridCol w:w="211"/>
        <w:gridCol w:w="616"/>
        <w:gridCol w:w="109"/>
        <w:gridCol w:w="109"/>
        <w:gridCol w:w="109"/>
        <w:gridCol w:w="109"/>
        <w:gridCol w:w="211"/>
        <w:gridCol w:w="61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credit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and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December 31, 2025, the Company continues to maintain valuation allowances against its deferred tax assets in certain states and one foreign jurisdiction.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$13.1 million of federal, $70.3 million of state, and $28.1 million of foreign net operating loss carryforwards available to reduce future taxable income. Of the federal net operating loss carryforwards, $2.2 million will begin to expire in 2032 and $10.9 million will carryforward indefinitely, while state net operating losses begin to expire in 2032. The foreign net operating loss carryforwards will carryforward indefinitely.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research credit carryforwards of $218.7 million and $191.4 million for federal and state income tax purposes, respectively, of which $109.3 million and $53.4 million is the unrecognized tax benefit portion related to the research credit carryforwards for federal and state, respectively. The federal and state credit carryforwards will begin to expire in 2041 and 2030, respectively. The Company also had $2.7 million of foreign tax credit carryforwards which will begin to expire in 2035.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December 31, 2025, the balance of unrecognized tax benefits was $178.3 million of which $118.2 million, if recognized, would affect the effective tax rate.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 is as follows:</w:t>
      </w:r>
    </w:p>
    <w:p>
      <w:pPr>
        <w:pStyle w:val="TextBody"/>
        <w:bidi w:val="0"/>
        <w:spacing w:before="0" w:after="0"/>
        <w:jc w:val="left"/>
        <w:rPr/>
      </w:pPr>
      <w:r>
        <w:rPr/>
      </w:r>
    </w:p>
    <w:tbl>
      <w:tblPr>
        <w:tblW w:w="9866" w:type="dxa"/>
        <w:jc w:val="center"/>
        <w:tblInd w:w="0" w:type="dxa"/>
        <w:tblLayout w:type="fixed"/>
        <w:tblCellMar>
          <w:top w:w="28" w:type="dxa"/>
          <w:left w:w="28" w:type="dxa"/>
          <w:bottom w:w="28" w:type="dxa"/>
          <w:right w:w="28" w:type="dxa"/>
        </w:tblCellMar>
      </w:tblPr>
      <w:tblGrid>
        <w:gridCol w:w="2304"/>
        <w:gridCol w:w="2025"/>
        <w:gridCol w:w="2030"/>
        <w:gridCol w:w="211"/>
        <w:gridCol w:w="616"/>
        <w:gridCol w:w="109"/>
        <w:gridCol w:w="109"/>
        <w:gridCol w:w="109"/>
        <w:gridCol w:w="109"/>
        <w:gridCol w:w="211"/>
        <w:gridCol w:w="616"/>
        <w:gridCol w:w="109"/>
        <w:gridCol w:w="109"/>
        <w:gridCol w:w="109"/>
        <w:gridCol w:w="109"/>
        <w:gridCol w:w="211"/>
        <w:gridCol w:w="616"/>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gross unrecognized tax benefits at the beginning of the fiscal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prior period tax positions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related to prior period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current period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lapse in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settlements with taxing authorities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gross unrecognized tax benefits at the end of the fiscal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related to income tax matters as a component of income tax expense. As of December 31, 2025, the amount of accrued interest and penalties related to uncertain tax positions was $8.6 million. Net interest and penalties recognized/(released) for the years ended December 31, 2025, 2024, and 2023 was $3.6 million, $(1.6) million, and $1.3 million, respectively.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routinely under audit by federal, state, local, and foreign tax authorities, which may include examinations of the timing and amount of income and deductions and the allocation of income and deductions among various tax jurisdictions. The Internal Revenue Service (IRS) is currently examining the Company’s U.S. consolidated federal income tax returns for the tax years ending December 31, 2022 through December 31, 2024. Tax years 2010 and forward remain subject to examination by state taxing authorities. Ireland is the Company’s material foreign tax jurisdiction, and tax years 2016 and forward remain subject to examination by the Irish Revenue Commissioners.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changed our assertion regarding our intent to indefinitely reinvest undistributed earnings of our Irish subsidiary and determined that those earnings are no longer considered permanently reinvested. The deferred income tax impact of this change is not material.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pPr>
      <w:r>
        <w:rPr>
          <w:rFonts w:ascii="Times New Roman;serif" w:hAnsi="Times New Roman;serif"/>
          <w:b/>
          <w:color w:val="000000"/>
          <w:sz w:val="20"/>
        </w:rPr>
        <w:t>Note 15.</w:t>
      </w:r>
      <w:r>
        <w:rPr>
          <w:color w:val="000000"/>
        </w:rPr>
        <w:t xml:space="preserve"> </w:t>
      </w:r>
      <w:r>
        <w:rPr>
          <w:rFonts w:ascii="Times New Roman;serif" w:hAnsi="Times New Roman;serif"/>
          <w:b/>
          <w:color w:val="000000"/>
          <w:sz w:val="20"/>
        </w:rPr>
        <w:t>Segment Information and Geographic Areas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the Chief Executive Officer, manages the Company's business activities as a single operating and reportable segment at the consolidated level. Accordingly, the CODM uses consolidated net income, as reported on the consolidated statements of operations, to allocate resources as part of the annual planning process and to assess the performance of the Company's single reportable segment, primarily by monitoring actual results versus the annual plan.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expenses reviewed by the CODM are cost of revenue, research and development, sales and marketing, general and administrative, and stock-based compensation, as presented in the consolidated statements of operations. Cost of revenue, research and development, sales and marketing, and general and administrative expenses include depreciation and amortization expenses, which are disclosed in Note 4 "Property and Equipment, Net" and Note 6 "Intangible Assets", respectively. Other segment items consist of interest (expense) income, net, other income (loss), net, and provision for income taxes, as presented in the consolidated statements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CODM does not evaluate segment performance using balance sheet information.</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Long-lived assets and revenue by geographic region, based on the physical location of the operations recording the asset or the sale, are as follows: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w:t>
      </w:r>
    </w:p>
    <w:p>
      <w:pPr>
        <w:pStyle w:val="TextBody"/>
        <w:bidi w:val="0"/>
        <w:spacing w:before="0" w:after="0"/>
        <w:ind w:left="0" w:right="0" w:firstLine="495"/>
        <w:jc w:val="left"/>
        <w:rPr/>
      </w:pPr>
      <w:r>
        <w:rPr/>
      </w:r>
    </w:p>
    <w:tbl>
      <w:tblPr>
        <w:tblW w:w="5139" w:type="dxa"/>
        <w:jc w:val="center"/>
        <w:tblInd w:w="0" w:type="dxa"/>
        <w:tblLayout w:type="fixed"/>
        <w:tblCellMar>
          <w:top w:w="28" w:type="dxa"/>
          <w:left w:w="28" w:type="dxa"/>
          <w:bottom w:w="28" w:type="dxa"/>
          <w:right w:w="28" w:type="dxa"/>
        </w:tblCellMar>
      </w:tblPr>
      <w:tblGrid>
        <w:gridCol w:w="1051"/>
        <w:gridCol w:w="919"/>
        <w:gridCol w:w="925"/>
        <w:gridCol w:w="211"/>
        <w:gridCol w:w="616"/>
        <w:gridCol w:w="109"/>
        <w:gridCol w:w="109"/>
        <w:gridCol w:w="109"/>
        <w:gridCol w:w="109"/>
        <w:gridCol w:w="211"/>
        <w:gridCol w:w="61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 xml:space="preserve">No single country other than the United States had a property and equipment balance greater than 10% of total property and equipment, net, as of December 31, 2025 and 2024. </w:t>
      </w:r>
    </w:p>
    <w:p>
      <w:pPr>
        <w:pStyle w:val="TextBody"/>
        <w:bidi w:val="0"/>
        <w:spacing w:before="120" w:after="120"/>
        <w:ind w:left="0" w:right="0" w:firstLine="495"/>
        <w:jc w:val="left"/>
        <w:rPr/>
      </w:pPr>
      <w:r>
        <w:rPr/>
      </w:r>
    </w:p>
    <w:p>
      <w:pPr>
        <w:pStyle w:val="TextBody"/>
        <w:bidi w:val="0"/>
        <w:spacing w:lineRule="auto" w:line="288" w:before="12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is generally based on the address of the customer as defined in the Company’s subscription agreement. The following table sets forth revenue by geographic area for the years ended December 31, 2025, 2024 and 2023. </w:t>
      </w:r>
    </w:p>
    <w:p>
      <w:pPr>
        <w:pStyle w:val="TextBody"/>
        <w:bidi w:val="0"/>
        <w:spacing w:before="0" w:after="0"/>
        <w:ind w:left="0" w:right="0" w:firstLine="495"/>
        <w:jc w:val="left"/>
        <w:rPr/>
      </w:pPr>
      <w:r>
        <w:rPr/>
      </w:r>
    </w:p>
    <w:tbl>
      <w:tblPr>
        <w:tblW w:w="5773" w:type="dxa"/>
        <w:jc w:val="center"/>
        <w:tblInd w:w="0" w:type="dxa"/>
        <w:tblLayout w:type="fixed"/>
        <w:tblCellMar>
          <w:top w:w="28" w:type="dxa"/>
          <w:left w:w="28" w:type="dxa"/>
          <w:bottom w:w="28" w:type="dxa"/>
          <w:right w:w="28" w:type="dxa"/>
        </w:tblCellMar>
      </w:tblPr>
      <w:tblGrid>
        <w:gridCol w:w="501"/>
        <w:gridCol w:w="438"/>
        <w:gridCol w:w="441"/>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No single country outside of the United States accounted for more than 10% of total revenue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pPr>
      <w:r>
        <w:rPr>
          <w:rFonts w:ascii="Times New Roman;serif" w:hAnsi="Times New Roman;serif"/>
          <w:b/>
          <w:color w:val="000000"/>
          <w:sz w:val="20"/>
        </w:rPr>
        <w:t>Note 16.</w:t>
      </w:r>
      <w:r>
        <w:rPr>
          <w:color w:val="000000"/>
        </w:rPr>
        <w:t xml:space="preserve"> </w:t>
      </w:r>
      <w:r>
        <w:rPr>
          <w:rFonts w:ascii="Times New Roman;serif" w:hAnsi="Times New Roman;serif"/>
          <w:b/>
          <w:color w:val="000000"/>
          <w:sz w:val="20"/>
        </w:rPr>
        <w:t xml:space="preserve">Subsequent Events </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the Company entered into a sublease for approximately 282,000 square feet of its San Francisco, California corporate headquarters. The sublease term is for approximately 3 years, is estimated to commence in February 2026 and will expire in June 2029, with an option to extend for an additional 4 years. Further, on January 29, 2026, the Company entered into an amendment for one of its San Francisco, California corporate headquarter subleases, for approximately 95,000 square feet with staggered commencements between 2026 and 2029 and expiration in August 2033. As a result of these sublease agreements, the Company is entitled to receive approximately $118.7 million in total future cash payments related to rent and common area maintenance fees over the terms of the subleases.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of our Chief Financial Officer and Chief Executive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Ernst &amp; Young LLP, an independent registered public accounting firm, as stated in their report, which is included in Item 8 of this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December 31, 2025 that has materially affected, or is reasonably likely to materially affect, our internal control over financial reporting.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Disclosure Controls and Procedures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9B. OTHER INFORMATION</w:t>
      </w:r>
    </w:p>
    <w:p>
      <w:pPr>
        <w:pStyle w:val="TextBody"/>
        <w:bidi w:val="0"/>
        <w:spacing w:lineRule="auto" w:line="26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the following officer, as defined in Rule 16a-1(f), adopted a “Rule 10b5-1 trading arrangement” as defined in Regulation S-K Item 408, as follows: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10th, 2025, Will Yoon, our Chief Legal Officer, adopted a Rule 10b5-1 trading arrangement providing for the sale from time-to-time of an aggregate of up to 29,027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May 31, 2026, or earlier if all transactions under the trading arrangement are completed.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 other officers, as defined in Rule 16a-1(f), or directors adopted or terminated a "Rule 10b5-1 trading arrangement" or a "non-Rule 10b5-1 trading arrangement," as defined in Regulation S-K Item 408.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9C. DISCLOSURE REGARDING FOREIGN JURISDICTIONS THAT PREVENT INSPECTIONS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10. DIRECTORS, EXECUTIVE OFFICERS AND CORPORATE GOVERNANCE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purchase, sale and other dispositions of our securities that applies to all personnel of Dropbox and of our subsidiaries, including directors, officers, and employees, to certain other covered persons. We believe that our insider trading policy is reasonably designed to promote compliance with insider trading laws, rules, and regulations, as well as applicable listing standards. A copy of our insider trading policy is filed as Exhibit 19.1 to this Annual Report on Form 10-K.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11. EXECUTIVE COMPENSATION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12. SECURITY OWNERSHIP OF CERTAIN BENEFICIAL OWNERS AND MANAGEMENT AND RELATED STOCKHOLDER MATTERS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 </w:t>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ITEM 13. CERTAIN RELATIONSHIPS AND RELATED PARTY TRANSACTIONS, AND DIRECTOR INDEPENDENCE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14. PRINCIPAL ACCOUNTING FEES AND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our Proxy Statement relating to our 2026 Meeting of Stockholders. The Proxy Statement will be filed with the Securities and Exchange Commission within 120 days of the end of the fiscal year ended December 31, 2025. </w:t>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ITEM 15. EXHIBITS AND FINANCIAL STATEMENT SCHEDULES.</w:t>
      </w:r>
    </w:p>
    <w:p>
      <w:pPr>
        <w:pStyle w:val="TextBody"/>
        <w:bidi w:val="0"/>
        <w:spacing w:lineRule="auto" w:line="288" w:before="3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filed as a part of this Annual Report on Form 10-K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(a)Financial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listed in the “Index to Consolidated Financial Statements” under Part II, Item 8 of this Annual Report on Form 10-K.</w:t>
      </w:r>
    </w:p>
    <w:p>
      <w:pPr>
        <w:pStyle w:val="TextBody"/>
        <w:bidi w:val="0"/>
        <w:spacing w:before="120" w:after="283"/>
        <w:ind w:left="0" w:right="0" w:firstLine="495"/>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(b)Financial statement schedules.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not listed above have been omitted because the information called for is not required or is shown either in the consolidated financial statements or in the notes thereto.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(c)Exhibits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Annual Report on Form 10-K are incorporated by reference or are filed with this Annual Report on Form 10-K, in each case as indicated therein (numbered in accordance with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43"/>
        <w:gridCol w:w="1576"/>
        <w:gridCol w:w="1595"/>
        <w:gridCol w:w="109"/>
        <w:gridCol w:w="109"/>
        <w:gridCol w:w="109"/>
        <w:gridCol w:w="172"/>
        <w:gridCol w:w="172"/>
        <w:gridCol w:w="174"/>
        <w:gridCol w:w="109"/>
        <w:gridCol w:w="109"/>
        <w:gridCol w:w="109"/>
        <w:gridCol w:w="261"/>
        <w:gridCol w:w="261"/>
        <w:gridCol w:w="262"/>
        <w:gridCol w:w="109"/>
        <w:gridCol w:w="109"/>
        <w:gridCol w:w="109"/>
        <w:gridCol w:w="210"/>
        <w:gridCol w:w="210"/>
        <w:gridCol w:w="211"/>
        <w:gridCol w:w="109"/>
        <w:gridCol w:w="109"/>
        <w:gridCol w:w="109"/>
        <w:gridCol w:w="395"/>
        <w:gridCol w:w="277"/>
        <w:gridCol w:w="34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Plan of Conversion</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Articles of Incorporation of the Registrant</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Bylaws of the Registrant</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12,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Amended and Restated Investors’ Rights Agreement among the Registrant and certain holders of its capital stock, dated as of January 30, 2014,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23, 2018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Amendment No. 2 to the Amended and Restated Investors’ Rights Agreement among the Registrant and certain holders of its capital stock, dated as of March 27,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Indenture, dated February 26, 2021, between the Registrant and U.S. Bank Trust Company, National Association (as successor in interest to U.S. Bank National Association) (2026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Indenture, dated February 26, 2021, between the Registrant and U.S. Bank Trust Company, National Association (as successor in interest to U.S. Bank National Association) (2028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Form of 0% Convertible Senior Note due 2026 (included in Exhibit 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Form of 0% Convertible Senior Note due 2028 (included in Exhibit 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8-q425.htm">
              <w:r>
                <w:rPr>
                  <w:rStyle w:val="InternetLink"/>
                  <w:rFonts w:ascii="Times New Roman;serif" w:hAnsi="Times New Roman;serif"/>
                  <w:b w:val="false"/>
                  <w:color w:val="0000FF"/>
                  <w:sz w:val="18"/>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Supplemental Indenture dated March 3, 2025 between the Company and U.S. Bank Trust Company, National Association (2026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Supplemental Indenture dated March 3, 2025 between the Company and U.S. Bank Trust Company, National Association (2028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Form of Indemnification Agreement between the Registrant and certain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Dropbox, Inc. 2018 Equity Incentive Plan and related form agreements,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Dropbox, Inc. 2018 Employee Stock Purchase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21, 2018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4"/>
        <w:gridCol w:w="178"/>
        <w:gridCol w:w="170"/>
        <w:gridCol w:w="109"/>
        <w:gridCol w:w="109"/>
        <w:gridCol w:w="109"/>
        <w:gridCol w:w="1804"/>
        <w:gridCol w:w="1651"/>
        <w:gridCol w:w="1655"/>
        <w:gridCol w:w="109"/>
        <w:gridCol w:w="109"/>
        <w:gridCol w:w="109"/>
        <w:gridCol w:w="172"/>
        <w:gridCol w:w="172"/>
        <w:gridCol w:w="173"/>
        <w:gridCol w:w="109"/>
        <w:gridCol w:w="109"/>
        <w:gridCol w:w="109"/>
        <w:gridCol w:w="258"/>
        <w:gridCol w:w="258"/>
        <w:gridCol w:w="259"/>
        <w:gridCol w:w="109"/>
        <w:gridCol w:w="109"/>
        <w:gridCol w:w="109"/>
        <w:gridCol w:w="210"/>
        <w:gridCol w:w="210"/>
        <w:gridCol w:w="211"/>
        <w:gridCol w:w="109"/>
        <w:gridCol w:w="109"/>
        <w:gridCol w:w="109"/>
        <w:gridCol w:w="390"/>
        <w:gridCol w:w="267"/>
        <w:gridCol w:w="328"/>
      </w:tblGrid>
      <w:tr>
        <w:trPr/>
        <w:tc>
          <w:tcPr>
            <w:tcW w:w="2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Dropbox, Inc. 2018 Class C Stock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21,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Dropbox, Inc. 2018 Class C Employee Stock Purchase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21,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Dropbox, Inc. 2017 Equity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21,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Dropbox, Inc. 2008 Equity Incentive Plan, as amended,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21,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Dropbox, Inc. Amended and Restated Cash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2021</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Restricted Stock Agreement between the Registrant and Andrew W. Houston.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Revised Form of Change of Control and Severance Agreement as of February 2024 between the Registrant and certain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2024</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Employment Letter between the Registrant and Andrew W. Houston.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12,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Form of Restricted Stock Agreement between the Registrant and certain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2020</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Offer Letter between the Registrant and Timothy Regan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7, 2020</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Office Lease between the Registrant and KR Mission Bay, LLC, dated as of October 6,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Second Amendment to Office Lease between Dropbox, Inc. and KR Mission Bay, LLC, dated as of May 25,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10, 2018</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Purchase Agreement, dated February 23, 2021, by and among the Registrant and J.P. Morgan Securities LLC and Goldman Sachs &amp; Co. LLC, as representatives of the several initial purchasers listed in Schedule I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Form of Convertible Note Hedge Confirmation (2026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Form of Convertible Note Hedge Confirmation (2028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Form of 2026 Warrant Confirmation.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 xml:space="preserve">Form of 2028 Warrant Confirmation.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2021</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Dropbox, Inc. Outside Director Compensation Policy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2020</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4"/>
        <w:gridCol w:w="179"/>
        <w:gridCol w:w="181"/>
        <w:gridCol w:w="109"/>
        <w:gridCol w:w="109"/>
        <w:gridCol w:w="109"/>
        <w:gridCol w:w="1834"/>
        <w:gridCol w:w="1618"/>
        <w:gridCol w:w="1624"/>
        <w:gridCol w:w="109"/>
        <w:gridCol w:w="109"/>
        <w:gridCol w:w="109"/>
        <w:gridCol w:w="170"/>
        <w:gridCol w:w="170"/>
        <w:gridCol w:w="171"/>
        <w:gridCol w:w="109"/>
        <w:gridCol w:w="109"/>
        <w:gridCol w:w="109"/>
        <w:gridCol w:w="251"/>
        <w:gridCol w:w="251"/>
        <w:gridCol w:w="252"/>
        <w:gridCol w:w="109"/>
        <w:gridCol w:w="109"/>
        <w:gridCol w:w="109"/>
        <w:gridCol w:w="210"/>
        <w:gridCol w:w="210"/>
        <w:gridCol w:w="211"/>
        <w:gridCol w:w="109"/>
        <w:gridCol w:w="109"/>
        <w:gridCol w:w="109"/>
        <w:gridCol w:w="450"/>
        <w:gridCol w:w="280"/>
        <w:gridCol w:w="304"/>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Eighth Amendment to Office Lease, dated November 1, 2021 and executed on December 16, 2021, by and between the Registrant and KRE Exchange Owner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18, 2022</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18"/>
                  <w:u w:val="single"/>
                </w:rPr>
                <w:t>Eleventh Amendment to Office Lease, dated October 1, 2023 and executed on October 17, 2023, by and between the Registrant and KRE Exchange Owner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2024</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Credit and Guaranty Agreement, dated as of December 11, 2024, by and among the Registrant, the guarantors party thereto, the lenders party thereto, including Blackstone Private Credit Fund and certain of its affiliates, the issuing bank, and the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11, 2024</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18"/>
                  <w:u w:val="single"/>
                </w:rPr>
                <w:t>Offer Letter between the Registrant and Ashraf Alkarmi.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9, 2025</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Offer Letter between the Registrant and Ali Dasdan.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9, 2025</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18"/>
                  <w:u w:val="single"/>
                </w:rPr>
                <w:t>Offer Letter between the Registrant and William Yoon.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9, 2025</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18"/>
                  <w:u w:val="single"/>
                </w:rPr>
                <w:t>Amendment No. 1 to Credit and Guaranty Agreement, dated as of September 9, 2025, by and among the Company, the guarantors party thereto, the lenders party thereto, the issuing bank and the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9, 2025</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9-q425.htm">
              <w:r>
                <w:rPr>
                  <w:rStyle w:val="InternetLink"/>
                  <w:rFonts w:ascii="Times New Roman;serif" w:hAnsi="Times New Roman;serif"/>
                  <w:b w:val="false"/>
                  <w:color w:val="0000FF"/>
                  <w:sz w:val="18"/>
                  <w:u w:val="single"/>
                </w:rPr>
                <w:t>Offer Letter between the Registrant and Ross Tennenbaum.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0-q425.htm">
              <w:r>
                <w:rPr>
                  <w:rStyle w:val="InternetLink"/>
                  <w:rFonts w:ascii="Times New Roman;serif" w:hAnsi="Times New Roman;serif"/>
                  <w:b w:val="false"/>
                  <w:color w:val="0000FF"/>
                  <w:sz w:val="18"/>
                  <w:u w:val="single"/>
                </w:rPr>
                <w:t>Form of Indemnification Agreement between the Registrant and certain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q425.htm">
              <w:r>
                <w:rPr>
                  <w:rStyle w:val="InternetLink"/>
                  <w:rFonts w:ascii="Times New Roman;serif" w:hAnsi="Times New Roman;serif"/>
                  <w:b w:val="false"/>
                  <w:color w:val="0000FF"/>
                  <w:sz w:val="18"/>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q425.htm">
              <w:r>
                <w:rPr>
                  <w:rStyle w:val="InternetLink"/>
                  <w:rFonts w:ascii="Times New Roman;serif" w:hAnsi="Times New Roman;serif"/>
                  <w:b w:val="false"/>
                  <w:color w:val="0000FF"/>
                  <w:sz w:val="18"/>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q425.htm">
              <w:r>
                <w:rPr>
                  <w:rStyle w:val="InternetLink"/>
                  <w:rFonts w:ascii="Times New Roman;serif" w:hAnsi="Times New Roman;serif"/>
                  <w:b w:val="false"/>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dadc2974380bc9c47adc30a94d0_208">
              <w:r>
                <w:rPr>
                  <w:rStyle w:val="InternetLink"/>
                  <w:rFonts w:ascii="Times New Roman;serif" w:hAnsi="Times New Roman;serif"/>
                  <w:b w:val="false"/>
                  <w:color w:val="0000FF"/>
                  <w:sz w:val="18"/>
                  <w:u w:val="single"/>
                </w:rPr>
                <w:t>Power of Attorney (included in signature pages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425.htm">
              <w:r>
                <w:rPr>
                  <w:rStyle w:val="InternetLink"/>
                  <w:rFonts w:ascii="Times New Roman;serif" w:hAnsi="Times New Roman;serif"/>
                  <w:b w:val="false"/>
                  <w:color w:val="0000FF"/>
                  <w:sz w:val="18"/>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425.htm">
              <w:r>
                <w:rPr>
                  <w:rStyle w:val="InternetLink"/>
                  <w:rFonts w:ascii="Times New Roman;serif" w:hAnsi="Times New Roman;serif"/>
                  <w:b w:val="false"/>
                  <w:color w:val="0000FF"/>
                  <w:sz w:val="18"/>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425.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18"/>
                  <w:u w:val="single"/>
                </w:rPr>
                <w:t>Dropbox, Inc. Incentive- Based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2024</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1892"/>
        <w:gridCol w:w="1892"/>
        <w:gridCol w:w="1897"/>
        <w:gridCol w:w="109"/>
        <w:gridCol w:w="109"/>
        <w:gridCol w:w="109"/>
        <w:gridCol w:w="170"/>
        <w:gridCol w:w="170"/>
        <w:gridCol w:w="171"/>
        <w:gridCol w:w="109"/>
        <w:gridCol w:w="109"/>
        <w:gridCol w:w="109"/>
        <w:gridCol w:w="245"/>
        <w:gridCol w:w="245"/>
        <w:gridCol w:w="246"/>
        <w:gridCol w:w="109"/>
        <w:gridCol w:w="109"/>
        <w:gridCol w:w="109"/>
        <w:gridCol w:w="210"/>
        <w:gridCol w:w="210"/>
        <w:gridCol w:w="211"/>
        <w:gridCol w:w="109"/>
        <w:gridCol w:w="109"/>
        <w:gridCol w:w="109"/>
        <w:gridCol w:w="179"/>
        <w:gridCol w:w="179"/>
        <w:gridCol w:w="26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financial statements from the Company's Annual Report on Form 10-K for the fiscal year ended December 31, 2025, formatted in Inline XBRL: (i) Consolidated Balance Sheets, (ii) Consolidated Statement of Operations, (iii) Consolidated Statements of Comprehensive Income, (iv) Consolidated Statement of Cash Flows, (v) Consolidated Statements of Stockholders' Deficit, and (vi) Notes to Consolidated Financial Statements.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7"/>
        <w:gridCol w:w="2897"/>
        <w:gridCol w:w="4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that accompany this Annual Report on Form 10-K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16. FORM 10-K SUMMARY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20, 2026.</w:t>
      </w:r>
    </w:p>
    <w:p>
      <w:pPr>
        <w:pStyle w:val="TextBody"/>
        <w:bidi w:val="0"/>
        <w:spacing w:lineRule="auto" w:line="288" w:before="0" w:after="0"/>
        <w:jc w:val="left"/>
        <w:rPr>
          <w:color w:val="000000"/>
        </w:rPr>
      </w:pPr>
      <w:r>
        <w:rPr>
          <w:color w:val="000000"/>
        </w:rPr>
        <w:t> </w:t>
      </w:r>
    </w:p>
    <w:tbl>
      <w:tblPr>
        <w:tblW w:w="3095" w:type="dxa"/>
        <w:jc w:val="left"/>
        <w:tblInd w:w="0" w:type="dxa"/>
        <w:tblLayout w:type="fixed"/>
        <w:tblCellMar>
          <w:top w:w="28" w:type="dxa"/>
          <w:left w:w="28" w:type="dxa"/>
          <w:bottom w:w="28" w:type="dxa"/>
          <w:right w:w="28" w:type="dxa"/>
        </w:tblCellMar>
      </w:tblPr>
      <w:tblGrid>
        <w:gridCol w:w="190"/>
        <w:gridCol w:w="167"/>
        <w:gridCol w:w="167"/>
        <w:gridCol w:w="167"/>
        <w:gridCol w:w="167"/>
        <w:gridCol w:w="167"/>
        <w:gridCol w:w="598"/>
        <w:gridCol w:w="598"/>
        <w:gridCol w:w="87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417" w:before="30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Andrew W. Houston and Ross Tennenbaum,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on behalf of the Company and in the capacities and on the dates indicated.</w:t>
      </w:r>
    </w:p>
    <w:p>
      <w:pPr>
        <w:pStyle w:val="TextBody"/>
        <w:bidi w:val="0"/>
        <w:spacing w:before="240" w:after="283"/>
        <w:ind w:left="0" w:right="0" w:firstLine="495"/>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00949dadc2974380bc9c47adc30a94d0_7">
        <w:r>
          <w:rPr>
            <w:rStyle w:val="InternetLink"/>
            <w:rFonts w:ascii="Times New Roman;serif" w:hAnsi="Times New Roman;serif"/>
            <w:b/>
            <w:color w:val="0000FF"/>
            <w:sz w:val="20"/>
            <w:u w:val="single"/>
          </w:rPr>
          <w:t>Table of Contents</w:t>
        </w:r>
      </w:hyperlink>
    </w:p>
    <w:tbl>
      <w:tblPr>
        <w:tblW w:w="7492"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1065"/>
        <w:gridCol w:w="1065"/>
        <w:gridCol w:w="1079"/>
        <w:gridCol w:w="109"/>
        <w:gridCol w:w="109"/>
        <w:gridCol w:w="109"/>
        <w:gridCol w:w="477"/>
        <w:gridCol w:w="477"/>
        <w:gridCol w:w="68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W. Houston</w:t>
              <w:br/>
              <w:t>Andrew W. Houston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Ross Tennenbaum</w:t>
              <w:br/>
              <w:t>Ross Tennenbaum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Sarah Schubach</w:t>
              <w:br/>
              <w:t>Sarah Schubach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Moore</w:t>
              <w:br/>
              <w:t>Andrew Moore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Abhay Parasnis</w:t>
              <w:br/>
              <w:t>Abhay Parasnis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 Peacock</w:t>
              <w:br/>
              <w:t>Karen A. Peacock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Lisa Campbell </w:t>
              <w:br/>
              <w:t xml:space="preserve">Lisa Campbell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Seibel</w:t>
              <w:br/>
              <w:t>Michael Seibel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Jacobs</w:t>
              <w:br/>
              <w:t>Paul E. Jacobs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Warren Jenson</w:t>
              <w:br/>
              <w:t>Warren Jenson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100"/>
        <w:ind w:left="0" w:right="0" w:hanging="36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Exhibit 4.8</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information concerning the capital stock of Dropbox, Inc. (“us,” “our,” “we,” or the “Company”), and certain provisions of our articles of incorporation (the “Articles”) and bylaws (the “Bylaws”) currently in effect. This summary does not purport to be complete and is qualified in its entirety by the provisions of our Articles and Bylaws, as well as the applicable provisions of the Nevada Revised Statutes (the “NRS”). We encourage you to read our Articles, Bylaws and the applicable portions of the NRS carefully.</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authorize preferred stock, par value $0.00001 per share, and three classes of common stock: Class A common stock, par value $0.00001 per share, Class B common stock, par value $0.00001 per share and Class C common stock, par value $0.00001 per share. The rights of the three classes of common stock are identical, except as described below.</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3,915,000,000 shares, of which:</w:t>
      </w:r>
    </w:p>
    <w:p>
      <w:pPr>
        <w:pStyle w:val="TextBody"/>
        <w:bidi w:val="0"/>
        <w:spacing w:before="0" w:after="0"/>
        <w:ind w:left="0" w:right="0" w:firstLine="720"/>
        <w:jc w:val="both"/>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2,400,000,000 shares are designated as Class A common stock;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475,000,000 shares are designated as Class B common stock;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800,000,000 shares are designated as Class C common stock;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240,000,000 shares are designated as preferred stock.</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before="0" w:after="0"/>
        <w:ind w:left="0" w:right="0" w:firstLine="48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our Class A common stock are entitled to one vote for each share held on all matters submitted to a vote of stockholders, holders of our Class B common stock are entitled to ten votes for each share held, and holders of our Class C common stock are not entitled to vote on any matter that is submitted to a vote of stockholders, except as otherwise required by law and subject to certain exceptions in our Articles. The holders of our Class A common stock and Class B common stock vote together as a single class, unless otherwise required by law or our Articles. Under our Articles, approval of the holders of a majority of the Class B common stock is required to increase the number of authorized shares of our Class B common stock. In addition, Nevada law could require holders of either our Class A common stock, our Class B common stock, or our Class C common stock to vote separately as a single class in the following circumstances:</w:t>
      </w:r>
    </w:p>
    <w:p>
      <w:pPr>
        <w:pStyle w:val="TextBody"/>
        <w:bidi w:val="0"/>
        <w:spacing w:before="0" w:after="0"/>
        <w:ind w:left="0" w:right="0" w:firstLine="720"/>
        <w:jc w:val="both"/>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if we were to seek to amend our Articles to increase or decrease the par value of a class of stock, then that class would be required to vote separately to approve the proposed amendment; and</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if we were to seek to amend our Articles in a manner that alters or changes the powers, preferences, or special rights of a class of stock in a manner that affected its holders adversely, then that class would be required to vote separately to approve the proposed amendment.</w:t>
      </w:r>
    </w:p>
    <w:p>
      <w:pPr>
        <w:pStyle w:val="TextBody"/>
        <w:bidi w:val="0"/>
        <w:spacing w:before="0" w:after="0"/>
        <w:jc w:val="both"/>
        <w:rPr/>
      </w:pPr>
      <w:r>
        <w:rPr/>
      </w:r>
    </w:p>
    <w:p>
      <w:pPr>
        <w:pStyle w:val="TextBody"/>
        <w:bidi w:val="0"/>
        <w:spacing w:before="100" w:after="100"/>
        <w:ind w:left="0" w:right="0" w:hanging="360"/>
        <w:jc w:val="left"/>
        <w:rPr/>
      </w:pPr>
      <w:r>
        <w:rPr/>
      </w:r>
    </w:p>
    <w:p>
      <w:pPr>
        <w:pStyle w:val="TextBody"/>
        <w:bidi w:val="0"/>
        <w:spacing w:lineRule="auto" w:line="333"/>
        <w:jc w:val="both"/>
        <w:rPr>
          <w:color w:val="000000"/>
        </w:rPr>
      </w:pPr>
      <w:r>
        <w:rPr>
          <w:color w:val="000000"/>
        </w:rPr>
        <w:t> </w:t>
      </w:r>
    </w:p>
    <w:p>
      <w:pPr>
        <w:pStyle w:val="TextBody"/>
        <w:bidi w:val="0"/>
        <w:spacing w:before="100" w:after="100"/>
        <w:ind w:left="0" w:right="0" w:hanging="36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38760"/>
                <wp:effectExtent l="0" t="0" r="0" b="0"/>
                <wp:wrapNone/>
                <wp:docPr id="120" name="Frame119"/>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10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100"/>
                        <w:ind w:left="0" w:right="0" w:hanging="36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the Final Conversion Date (as defined in the Articles), the affirmative vote of the holders of our Class B common stock have the right to vote as a separate class to:</w:t>
      </w:r>
    </w:p>
    <w:p>
      <w:pPr>
        <w:pStyle w:val="TextBody"/>
        <w:bidi w:val="0"/>
        <w:spacing w:before="0" w:after="0"/>
        <w:ind w:left="0" w:right="0" w:firstLine="360"/>
        <w:jc w:val="both"/>
        <w:rPr/>
      </w:pPr>
      <w:r>
        <w:rPr/>
      </w:r>
    </w:p>
    <w:p>
      <w:pPr>
        <w:pStyle w:val="TextBody"/>
        <w:bidi w:val="0"/>
        <w:spacing w:lineRule="auto" w:line="268" w:before="0" w:after="0"/>
        <w:ind w:left="0" w:right="0" w:hanging="720"/>
        <w:jc w:val="both"/>
        <w:rPr/>
      </w:pPr>
      <w:r>
        <w:rPr>
          <w:color w:val="000000"/>
        </w:rPr>
        <w:t>•</w:t>
      </w:r>
      <w:r>
        <w:rPr>
          <w:rFonts w:ascii="Times New Roman;serif" w:hAnsi="Times New Roman;serif"/>
          <w:b w:val="false"/>
          <w:color w:val="000000"/>
          <w:sz w:val="20"/>
        </w:rPr>
        <w:t>amend or modify any provision of the Articles inconsistent with, or otherwise alter, any provision of the Articles to modify the voting, conversion or other rights, powers, preferences, privileges or restrictions of the Class B common stock;</w:t>
      </w:r>
    </w:p>
    <w:p>
      <w:pPr>
        <w:pStyle w:val="TextBody"/>
        <w:bidi w:val="0"/>
        <w:spacing w:before="0" w:after="0"/>
        <w:ind w:left="0" w:right="0" w:hanging="360"/>
        <w:jc w:val="both"/>
        <w:rPr/>
      </w:pPr>
      <w:r>
        <w:rPr/>
      </w:r>
    </w:p>
    <w:p>
      <w:pPr>
        <w:pStyle w:val="TextBody"/>
        <w:bidi w:val="0"/>
        <w:spacing w:lineRule="auto" w:line="268" w:before="0" w:after="0"/>
        <w:ind w:left="0" w:right="0" w:hanging="720"/>
        <w:jc w:val="both"/>
        <w:rPr/>
      </w:pPr>
      <w:r>
        <w:rPr>
          <w:color w:val="000000"/>
        </w:rPr>
        <w:t>•</w:t>
      </w:r>
      <w:r>
        <w:rPr>
          <w:rFonts w:ascii="Times New Roman;serif" w:hAnsi="Times New Roman;serif"/>
          <w:b w:val="false"/>
          <w:color w:val="000000"/>
          <w:sz w:val="20"/>
        </w:rPr>
        <w:t>reclassify any outstanding shares of Class A common stock or Class C common stock into shares having rights as to dividends or liquidation that are senior to the Class B common stock or, in the case of Class A common stock, the right to have more than one vote for each share thereof and, in the case of Class C common stock, the right to have any vote for any share thereof, except as required by law;</w:t>
      </w:r>
    </w:p>
    <w:p>
      <w:pPr>
        <w:pStyle w:val="TextBody"/>
        <w:bidi w:val="0"/>
        <w:spacing w:before="0" w:after="0"/>
        <w:ind w:left="0" w:right="0" w:hanging="360"/>
        <w:jc w:val="both"/>
        <w:rPr/>
      </w:pPr>
      <w:r>
        <w:rPr/>
      </w:r>
    </w:p>
    <w:p>
      <w:pPr>
        <w:pStyle w:val="TextBody"/>
        <w:bidi w:val="0"/>
        <w:spacing w:lineRule="auto" w:line="268" w:before="0" w:after="0"/>
        <w:ind w:left="0" w:right="0" w:hanging="720"/>
        <w:jc w:val="both"/>
        <w:rPr/>
      </w:pPr>
      <w:r>
        <w:rPr>
          <w:color w:val="000000"/>
        </w:rPr>
        <w:t>•</w:t>
      </w:r>
      <w:r>
        <w:rPr>
          <w:rFonts w:ascii="Times New Roman;serif" w:hAnsi="Times New Roman;serif"/>
          <w:b w:val="false"/>
          <w:color w:val="000000"/>
          <w:sz w:val="20"/>
        </w:rPr>
        <w:t>subject to certain exceptions, issue any shares of Class B common stock;</w:t>
      </w:r>
    </w:p>
    <w:p>
      <w:pPr>
        <w:pStyle w:val="TextBody"/>
        <w:bidi w:val="0"/>
        <w:spacing w:before="0" w:after="0"/>
        <w:ind w:left="0" w:right="0" w:hanging="360"/>
        <w:jc w:val="both"/>
        <w:rPr/>
      </w:pPr>
      <w:r>
        <w:rPr/>
      </w:r>
    </w:p>
    <w:p>
      <w:pPr>
        <w:pStyle w:val="TextBody"/>
        <w:bidi w:val="0"/>
        <w:spacing w:lineRule="auto" w:line="268" w:before="0" w:after="0"/>
        <w:ind w:left="0" w:right="0" w:hanging="720"/>
        <w:jc w:val="both"/>
        <w:rPr/>
      </w:pPr>
      <w:r>
        <w:rPr>
          <w:color w:val="000000"/>
        </w:rPr>
        <w:t>•</w:t>
      </w:r>
      <w:r>
        <w:rPr>
          <w:rFonts w:ascii="Times New Roman;serif" w:hAnsi="Times New Roman;serif"/>
          <w:b w:val="false"/>
          <w:color w:val="000000"/>
          <w:sz w:val="20"/>
        </w:rPr>
        <w:t>authorize, or issue any shares of, any class or series of capital stock of the Company having the right to more than one vote for each share thereof; or</w:t>
      </w:r>
    </w:p>
    <w:p>
      <w:pPr>
        <w:pStyle w:val="TextBody"/>
        <w:bidi w:val="0"/>
        <w:spacing w:before="0" w:after="0"/>
        <w:ind w:left="0" w:right="0" w:hanging="360"/>
        <w:jc w:val="both"/>
        <w:rPr/>
      </w:pPr>
      <w:r>
        <w:rPr/>
      </w:r>
    </w:p>
    <w:p>
      <w:pPr>
        <w:pStyle w:val="TextBody"/>
        <w:bidi w:val="0"/>
        <w:spacing w:lineRule="auto" w:line="268" w:before="0" w:after="0"/>
        <w:ind w:left="0" w:right="0" w:hanging="720"/>
        <w:jc w:val="both"/>
        <w:rPr/>
      </w:pPr>
      <w:r>
        <w:rPr>
          <w:color w:val="000000"/>
        </w:rPr>
        <w:t>•</w:t>
      </w:r>
      <w:r>
        <w:rPr>
          <w:rFonts w:ascii="Times New Roman;serif" w:hAnsi="Times New Roman;serif"/>
          <w:b w:val="false"/>
          <w:color w:val="000000"/>
          <w:sz w:val="20"/>
        </w:rPr>
        <w:t>consummate a Liquidation Event (as defined in the Articles).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and Bylaws provide that from and after the time that the Class B common stock no longer represents a majority of the combined voting power of our Class A common stock and Class B common stock (the “Voting Threshold Date”), the board of directors of the Company (the “Board of Directors”) will be classified; specifically, the Board of Directors will consist of three classes of approximately equal size, with the directors of each class to serve staggered, three-year terms. Only one class of directors will be subject to election by a plurality of the votes cast at each annual meeting of stockholders, with the directors comprising the other two classes continuing for the remainder of their respective three-year terms. Prior to the Voting Threshold Date, our directors will be elected annually for one-year terms. Stockholders do not have the ability to cumulate votes for the election of directors.</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rights and preferences that may apply to the holders of any shares of preferred stock outstanding at the time, the holders of our common stock are entitled to receive dividends out of funds legally available if our Board of Directors, in its discretion, determines to issue dividends and then, only at such times and in such amounts as our Board of Directors may determine.</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Preemptive or Similar Rights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not entitled to preemptive rights and is not subject to conversion, redemption, or sinking fund provisions, except to the extent that such a right may, from time to time, be set forth in a written agreement between the Company and a stockholder.</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Liquidation Rights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become subject to a liquidation, dissolution, or winding-up, the assets legally available for distribution to our stockholders will be distributable ratably among the holders of our common stock and any participating series of our preferred stock outstanding at that time, subject to the prior satisfaction of all outstanding debt and liabilities and the preferential rights of, and the payment of liquidation preferences, if any, on, any outstanding shares of preferred stock.</w:t>
      </w:r>
    </w:p>
    <w:p>
      <w:pPr>
        <w:pStyle w:val="TextBody"/>
        <w:bidi w:val="0"/>
        <w:spacing w:before="0" w:after="0"/>
        <w:ind w:left="0" w:right="0" w:firstLine="720"/>
        <w:jc w:val="both"/>
        <w:rPr/>
      </w:pPr>
      <w:r>
        <w:rPr/>
      </w:r>
    </w:p>
    <w:p>
      <w:pPr>
        <w:pStyle w:val="TextBody"/>
        <w:bidi w:val="0"/>
        <w:spacing w:lineRule="auto" w:line="333"/>
        <w:jc w:val="left"/>
        <w:rPr>
          <w:rFonts w:ascii="Times New Roman;serif" w:hAnsi="Times New Roman;serif"/>
          <w:b/>
          <w:i/>
          <w:color w:val="000000"/>
          <w:sz w:val="20"/>
        </w:rPr>
      </w:pPr>
      <w:r>
        <w:rPr>
          <w:rFonts w:ascii="Times New Roman;serif" w:hAnsi="Times New Roman;serif"/>
          <w:b/>
          <w:i/>
          <w:color w:val="000000"/>
          <w:sz w:val="20"/>
        </w:rPr>
        <w:t>Conversion of Class B Common Stock</w:t>
      </w:r>
    </w:p>
    <w:p>
      <w:pPr>
        <w:pStyle w:val="TextBody"/>
        <w:bidi w:val="0"/>
        <w:spacing w:before="100" w:after="100"/>
        <w:ind w:left="0" w:right="0" w:hanging="36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38760"/>
                <wp:effectExtent l="0" t="0" r="0" b="0"/>
                <wp:wrapNone/>
                <wp:docPr id="121" name="Frame120"/>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10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100"/>
                        <w:ind w:left="0" w:right="0" w:hanging="360"/>
                        <w:jc w:val="left"/>
                        <w:rPr/>
                      </w:pPr>
                      <w:r>
                        <w:rPr/>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share of Class B common stock is convertible at any time at the option of the holder into one fully paid and nonassessable share of Class A common stock. Shares of Class B common stock will automatically convert into shares of Class A common stock on the Final Conversion Date, upon sale or transfer, except for certain transfers described in our Articles, including, but not limited to, estate planning transfers where sole dispositive power and exclusive voting control with respect to the shares of Class B common stock are retained by the transferring holder and transfers between our co-founders. In addition, each outstanding share of Class B common stock held by a stockholder who is a natural person, or held by the Permitted Entities (as defined in the Articles) and Permitted Transferees (as defined in the Articles) of such natural person,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from the last applicable death or disability to a date approved by a majority of our independent directors. Transfers between our co-founders are Permitted Transfers and will not result in conversion of the shares of Class B common stock that are transferred; provided, however, that, upon the death or total and permanent disability of the transferring co-founder, the transferred shares will convert to shares of Class A common stock following the deferral period of nine months, or up to 18 months, if approved by a majority of our independent directors.</w:t>
      </w:r>
    </w:p>
    <w:p>
      <w:pPr>
        <w:pStyle w:val="TextBody"/>
        <w:bidi w:val="0"/>
        <w:spacing w:before="0" w:after="0"/>
        <w:ind w:left="0" w:right="0" w:firstLine="48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share of Class B common stock will convert automatically into one share of Class A common stock upon (i) the date specified by affirmative vote of the holders of two-thirds of the then outstanding shares of Class B common stock, voting as a separate class, (ii) the date on which the outstanding shares of Class B common stock represent less than five percent of the aggregate number of shares of the then outstanding Class A common stock and Class B common stock, or (iii) the date that is nine months after the death or total disability of the last to die or become disabled of our co-founders; provided, that such date may be extended, but not for a total period of longer than 18 months from the last applicable death or disability, to a date approved by a majority of our independent directors then in office.</w:t>
      </w:r>
    </w:p>
    <w:p>
      <w:pPr>
        <w:pStyle w:val="TextBody"/>
        <w:bidi w:val="0"/>
        <w:spacing w:before="0" w:after="0"/>
        <w:ind w:left="0" w:right="0" w:firstLine="48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Conversion of Class C Common Stock</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Class C common stock will convert automatically into fully paid and nonassessable shares of Class A common stock, on a share-for-share basis, following the conversion of all outstanding shares of Class B common stock into shares of Class A common stock, on the date or time specified by the holders of a majority of the outstanding shares of Class A common stock, voting as a separate class.</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ind w:left="0" w:right="0" w:firstLine="480"/>
        <w:jc w:val="left"/>
        <w:rPr/>
      </w:pPr>
      <w:r>
        <w:rPr/>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authorized, subject to limitations prescribed by Nevada law, to issue preferred stock in one or more series, to establish from time to time the number of shares to be included in each series, and to fix the designation, powers, preferences, and rights of the shares of each series and any of such series’ qualifications, limitations, or restrictions, in each case, without further vote or action by our stockholders. Our Board of Directors may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w:t>
      </w:r>
    </w:p>
    <w:p>
      <w:pPr>
        <w:pStyle w:val="TextBody"/>
        <w:bidi w:val="0"/>
        <w:spacing w:before="100" w:after="100"/>
        <w:ind w:left="0" w:right="0" w:hanging="36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38760"/>
                <wp:effectExtent l="0" t="0" r="0" b="0"/>
                <wp:wrapNone/>
                <wp:docPr id="122" name="Frame121"/>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10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100"/>
                        <w:ind w:left="0" w:right="0" w:hanging="3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effect of delaying, deferring, or preventing a change in control of our company and might adversely affect the market price of our common stock and the voting and other rights of the holders of our common stock.</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Anti-Takeover Effects of Nevada Law and Our Articles and Bylaws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the NRS, our Articles, and our Bylaws, which are summarized below, may have the effect of delaying, deferring, or discouraging another person from acquiring control of us. Such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Multi-Class Stock</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our Articles provide for a multi-class common stock structure, which provides holders of Class B common stock, which includes our executive officers, employees, directors, and their affiliates, with significant influence over matters requiring stockholder approval, including the election of directors and significant corporate transactions, such as a merger or other sale of the Company or its assets.</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Separate Class B Vote for Certain Transactions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Final Conversion Date, our Class B common stock will have the right to vote as a separate class (in addition to any other vote required by the NRS or our Articles) on certain amendments to our Articles that affect the rights of our Class B common stock, including certain reclassifications, changes in voting rights of our Class A common stock or Class C common stock, issuances of Class B common stock other than those authorized pursuant to existing rights and equity awards outstanding as of the IPO Date (as defined in the Articles), the authorization of stock with more than one vote per share, and the consummation of a Liquidation Event.</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Board of Director Vacancies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and Bylaws authorize only our Board of Directors to fill vacant directorships, including vacant directorships caused by newly created seats. In addition, the number of directors constituting our entire Board of Directors is permitted to be set only by a resolution adopted by a majority vote of our entire Board of Directors. These provisions are meant to prevent a stockholder from increasing the size of our Board of Directors and then gaining control of our Board of Directors by filling the resulting vacancies with its own nominees. This will make it more difficult for stockholders to change the composition of our Board of Directors, which promotes continuity of management.</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Classified Board of Directors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and Bylaws provide that, from and after the Voting Threshold Date, our Board of Directors will be classified into three classes of directors.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classified board structure may discourage a third party from making a tender offer or otherwise attempting to obtain control of us, as it is more difficult and time consuming for stockholders to replace a majority of the directors on a classified board.</w:t>
      </w:r>
    </w:p>
    <w:p>
      <w:pPr>
        <w:pStyle w:val="TextBody"/>
        <w:bidi w:val="0"/>
        <w:spacing w:before="0" w:after="0"/>
        <w:ind w:left="0" w:right="0" w:firstLine="720"/>
        <w:jc w:val="both"/>
        <w:rPr/>
      </w:pPr>
      <w:r>
        <w:rPr/>
      </w:r>
    </w:p>
    <w:p>
      <w:pPr>
        <w:pStyle w:val="TextBody"/>
        <w:bidi w:val="0"/>
        <w:spacing w:lineRule="auto" w:line="333"/>
        <w:jc w:val="left"/>
        <w:rPr>
          <w:rFonts w:ascii="Times New Roman;serif" w:hAnsi="Times New Roman;serif"/>
          <w:b/>
          <w:i/>
          <w:color w:val="000000"/>
          <w:sz w:val="20"/>
        </w:rPr>
      </w:pPr>
      <w:r>
        <w:rPr>
          <w:rFonts w:ascii="Times New Roman;serif" w:hAnsi="Times New Roman;serif"/>
          <w:b/>
          <w:i/>
          <w:color w:val="000000"/>
          <w:sz w:val="20"/>
        </w:rPr>
        <w:t>Stockholder Action; Special Meeting of Stockholders</w:t>
      </w:r>
    </w:p>
    <w:p>
      <w:pPr>
        <w:pStyle w:val="TextBody"/>
        <w:bidi w:val="0"/>
        <w:spacing w:before="100" w:after="100"/>
        <w:ind w:left="0" w:right="0" w:hanging="3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38760"/>
                <wp:effectExtent l="0" t="0" r="0" b="0"/>
                <wp:wrapNone/>
                <wp:docPr id="123" name="Frame122"/>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10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100"/>
                        <w:ind w:left="0" w:right="0" w:hanging="36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provide that, until the Voting Threshold Date, our stockholders may take action by written consent only if such action is first recommended or approved by the Board of Directors. Following the Voting Threshold Date, our stockholders will not be able to take action by written consent for any matter and may take action only at annual or special meetings. As a result, a holder controlling a majority of our capital stock will not be able to amend our Bylaws or remove directors without first holding a meeting of our stockholders called in accordance with our Bylaws, unless such action was previously approved by the Board of Directors. Our Bylaws further provide that special meetings of our stockholders may be called only by a majority of our Board of Directors, the Chairman of our Board of Directors, our Chief Executive Officer, the President of the Company (in the absence of a Chief Executive Officer), or, until the Final Conversion Date, holders of 30% of the combined voting power of our Class A common stock and Class B common stock, acting in compliance with our Bylaws, thereby limiting the ability of a stockholder to call a special meeting. These provisions might delay the ability of our stockholders to force consideration of a proposal or for our stockholders controlling a majority of our capital stock to take any action, including the removal of directors.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Advance Notice Requirements for Stockholder Proposals and Director Nominations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No Cumulative Voting</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NRS, a corporation may provide in its articles of incorporation that its stockholders may cumulate votes in the election of directors. Our Articles do not provide for cumulative voting.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Amendment of Charter and Bylaws Provisions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Final Conversion Date, any amendment to our Articles will require approval by holders of at least two-thirds of the voting power of our then outstanding capital stock. In addition, prior to the Final Conversion Date, any amendment that would amend or repeal, or adopt any provision inconsistent with, Article V of our Articles (or the related voting standard in the amendment article) must also be approved by the affirmative vote of a majority of the outstanding shares of our Class A common stock and a majority of the outstanding shares of our Class B common stock, each voting separately as a class. From and after the Final Conversion Date, certain amendments to our Articles will require the approval of two-thirds of the outstanding voting power of our common stock. Our Bylaws provide that approval of stockholders holding two-thirds of the voting power of our then outstanding capital stock, voting as a single class, is required for stockholders to amend or adopt any provision of our Bylaws.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Issuance of Undesignated Preferred Stock</w:t>
      </w:r>
    </w:p>
    <w:p>
      <w:pPr>
        <w:pStyle w:val="TextBody"/>
        <w:bidi w:val="0"/>
        <w:spacing w:before="0" w:after="0"/>
        <w:jc w:val="both"/>
        <w:rPr/>
      </w:pPr>
      <w:r>
        <w:rPr/>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have the authority, without further action by our stockholders, to issue up to 240,000,000 shares of undesignated preferred stock with rights and preferences, including voting rights, designated from time to time by our Board of Directors. The existence of authorized but unissued shares of preferred stock </w:t>
      </w:r>
    </w:p>
    <w:p>
      <w:pPr>
        <w:pStyle w:val="TextBody"/>
        <w:bidi w:val="0"/>
        <w:spacing w:before="100" w:after="100"/>
        <w:ind w:left="0" w:right="0" w:hanging="36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38760"/>
                <wp:effectExtent l="0" t="0" r="0" b="0"/>
                <wp:wrapNone/>
                <wp:docPr id="124" name="Frame123"/>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10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100"/>
                        <w:ind w:left="0" w:right="0" w:hanging="3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would enable our Board of Directors to render more difficult or discourage an attempt to obtain control of us by means of a merger, tender offer, proxy contest, or other means.</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i/>
          <w:color w:val="000000"/>
          <w:sz w:val="20"/>
        </w:rPr>
      </w:pPr>
      <w:r>
        <w:rPr>
          <w:rFonts w:ascii="Times New Roman;serif" w:hAnsi="Times New Roman;serif"/>
          <w:b/>
          <w:i/>
          <w:color w:val="000000"/>
          <w:sz w:val="20"/>
        </w:rPr>
        <w:t>Nevada Anti-Takeover Statutes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in our Bylaws to the contrary, and in accordance with the NRS, the provisions of NRS 78.378 to 78.3793, inclusive (or any successor statutes thereto) relating to the acquisition of controlling interests in the Company do not apply to us or to any acquisitions of shares of our capital stock. </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before="0" w:after="0"/>
        <w:ind w:left="0" w:right="0" w:firstLine="48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NRS or our Articles or Bylaws (as either may be amended from time to time), or (4) any other action asserting a claim that is governed by the internal affairs doctrine shall be the Eighth Judicial District Court of the State of Nevada, Clark County, Nevada, in all cases subject to the court having jurisdiction over indispensable parties named as defendants. Any person or entity purchasing or otherwise acquiring any interest in our securities shall be deemed to have notice of and consented to this provision. Although we believe these provisions benefit us by providing increased consistency in the application of Nevada law for the above-specified types of actions and proceedings, the provisions may have the effect of discouraging lawsuits against us or our directors and officers. Our Bylaws also provide that the federal district courts of the United States will be the exclusive forum for resolving any complaint asserting a cause of action arising under the Securities Act of 1933, as amended.</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Select Market under the symbol “DBX”.</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 The transfer agent and registrar’s address is 144 Fernwood Avenue, Edison, NJ 08837.</w:t>
      </w:r>
    </w:p>
    <w:p>
      <w:pPr>
        <w:pStyle w:val="TextBody"/>
        <w:bidi w:val="0"/>
        <w:spacing w:before="100" w:after="1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38760"/>
                <wp:effectExtent l="0" t="0" r="0" b="0"/>
                <wp:wrapNone/>
                <wp:docPr id="125" name="Frame124"/>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10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100"/>
                        <w:ind w:left="0" w:right="0" w:hanging="360"/>
                        <w:jc w:val="left"/>
                        <w:rPr/>
                      </w:pPr>
                      <w:r>
                        <w:rPr/>
                      </w:r>
                    </w:p>
                  </w:txbxContent>
                </v:textbox>
                <w10:wrap type="none"/>
              </v:rect>
            </w:pict>
          </mc:Fallback>
        </mc:AlternateContent>
      </w:r>
    </w:p>
    <w:p>
      <w:pPr>
        <w:pStyle w:val="TextBody"/>
        <w:bidi w:val="0"/>
        <w:spacing w:lineRule="auto" w:line="288" w:before="0" w:after="0"/>
        <w:ind w:left="0" w:right="0" w:firstLine="1440"/>
        <w:jc w:val="right"/>
        <w:rPr>
          <w:rFonts w:ascii="Times New Roman;serif" w:hAnsi="Times New Roman;serif"/>
          <w:b/>
          <w:color w:val="000000"/>
          <w:sz w:val="24"/>
        </w:rPr>
      </w:pPr>
      <w:r>
        <w:rPr>
          <w:rFonts w:ascii="Times New Roman;serif" w:hAnsi="Times New Roman;serif"/>
          <w:b/>
          <w:color w:val="000000"/>
          <w:sz w:val="24"/>
        </w:rPr>
        <w:t>Exhibit 10.29</w:t>
      </w:r>
    </w:p>
    <w:p>
      <w:pPr>
        <w:pStyle w:val="TextBody"/>
        <w:bidi w:val="0"/>
        <w:spacing w:lineRule="auto" w:line="312" w:before="240" w:after="283"/>
        <w:jc w:val="both"/>
        <w:rPr>
          <w:rFonts w:ascii="Times New Roman;serif" w:hAnsi="Times New Roman;serif"/>
          <w:b w:val="false"/>
          <w:color w:val="000000"/>
          <w:sz w:val="24"/>
        </w:rPr>
      </w:pPr>
      <w:r>
        <w:rPr>
          <w:rFonts w:ascii="Times New Roman;serif" w:hAnsi="Times New Roman;serif"/>
          <w:b w:val="false"/>
          <w:color w:val="000000"/>
          <w:sz w:val="24"/>
        </w:rPr>
        <w:t>December 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Ross Tennenbaum</w: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8"/>
          <w:u w:val="single"/>
        </w:rPr>
      </w:pPr>
      <w:r>
        <w:rPr>
          <w:rFonts w:ascii="Times New Roman;serif" w:hAnsi="Times New Roman;serif"/>
          <w:b/>
          <w:color w:val="000000"/>
          <w:sz w:val="28"/>
          <w:u w:val="single"/>
        </w:rPr>
        <w:t>Offer of Employment by Dropbox, Inc.</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Dear Ross: </w:t>
      </w:r>
    </w:p>
    <w:p>
      <w:pPr>
        <w:pStyle w:val="TextBody"/>
        <w:bidi w:val="0"/>
        <w:spacing w:before="240" w:after="283"/>
        <w:jc w:val="both"/>
        <w:rPr/>
      </w:pPr>
      <w:r>
        <w:rPr/>
      </w:r>
    </w:p>
    <w:p>
      <w:pPr>
        <w:pStyle w:val="TextBody"/>
        <w:bidi w:val="0"/>
        <w:spacing w:lineRule="auto" w:line="288" w:before="0" w:after="0"/>
        <w:jc w:val="both"/>
        <w:rPr/>
      </w:pPr>
      <w:r>
        <w:rPr>
          <w:rFonts w:ascii="Times New Roman;serif" w:hAnsi="Times New Roman;serif"/>
          <w:b w:val="false"/>
          <w:color w:val="000000"/>
          <w:sz w:val="24"/>
        </w:rPr>
        <w:t>On behalf of Dropbox, Inc. (“Dropbox”), we are pleased to offer you full-time employment in US - Washington - Seattle Metro, USA commencing on December 16, 2025, unless otherwise agreed to by you and Dropbox.</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Dropbox is a Virtual First company which means that your primary work experience will be remote. You will initially have the position of Chief Financial Officer, Level MGR9 and will initially report to the CEO. The terms of this Agreement are as follows:</w:t>
      </w:r>
    </w:p>
    <w:p>
      <w:pPr>
        <w:pStyle w:val="TextBody"/>
        <w:bidi w:val="0"/>
        <w:spacing w:lineRule="auto" w:line="288" w:before="240" w:after="283"/>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Compensation.</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Salary. Your starting annualized salary will be $550,000.00 per year, paid in accordance with Dropbox’s normal payroll procedures.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Dropbox will pay you the below start bonus on your first regular pay date (subject to your continuous full-time employment through that date) through regular payroll and subject to normal withholding. You agree to repay the full Start Bonus if, before your 1-year anniversary, your employment ends for any reason or you reduce your hours below full-time.    </w:t>
        <w:br/>
        <w:t>    </w:t>
        <w:br/>
        <w:t>Start Bonus:</w:t>
      </w:r>
    </w:p>
    <w:tbl>
      <w:tblPr>
        <w:tblW w:w="2206" w:type="dxa"/>
        <w:jc w:val="left"/>
        <w:tblInd w:w="0" w:type="dxa"/>
        <w:tblLayout w:type="fixed"/>
        <w:tblCellMar>
          <w:top w:w="28" w:type="dxa"/>
          <w:left w:w="28" w:type="dxa"/>
          <w:bottom w:w="28" w:type="dxa"/>
          <w:right w:w="28" w:type="dxa"/>
        </w:tblCellMar>
      </w:tblPr>
      <w:tblGrid>
        <w:gridCol w:w="706"/>
        <w:gridCol w:w="621"/>
        <w:gridCol w:w="879"/>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4" w:space="0" w:color="4472C4"/>
              <w:bottom w:val="single" w:sz="4" w:space="0" w:color="4472C4"/>
            </w:tcBorders>
            <w:tcMar>
              <w:top w:w="30" w:type="dxa"/>
              <w:left w:w="0" w:type="dxa"/>
              <w:bottom w:w="30" w:type="dxa"/>
              <w:right w:w="0" w:type="dxa"/>
            </w:tcMar>
            <w:vAlign w:val="center"/>
          </w:tcPr>
          <w:p>
            <w:pPr>
              <w:pStyle w:val="TableContents"/>
              <w:bidi w:val="0"/>
              <w:spacing w:lineRule="auto" w:line="288" w:before="360" w:after="360"/>
              <w:jc w:val="center"/>
              <w:rPr>
                <w:color w:val="000000"/>
              </w:rPr>
            </w:pPr>
            <w:r>
              <w:rPr>
                <w:color w:val="000000"/>
              </w:rPr>
              <w:t>              </w:t>
            </w:r>
            <w:r>
              <w:rPr>
                <w:rFonts w:ascii="Times New Roman;serif" w:hAnsi="Times New Roman;serif"/>
                <w:b w:val="false"/>
                <w:color w:val="000000"/>
                <w:sz w:val="24"/>
              </w:rPr>
              <w:t>$350,000.00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Bonus. You will be eligible to receive an annual bonus of 100% of your base salary, contingent upon Dropbox's annual 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pStyle w:val="TextBody"/>
        <w:bidi w:val="0"/>
        <w:spacing w:lineRule="auto" w:line="288" w:before="100" w:after="100"/>
        <w:ind w:left="0" w:right="0" w:firstLine="720"/>
        <w:jc w:val="both"/>
        <w:rPr/>
      </w:pPr>
      <w:r>
        <w:rPr>
          <w:rFonts w:ascii="Times New Roman;serif" w:hAnsi="Times New Roman;serif"/>
          <w:b w:val="false"/>
          <w:color w:val="000000"/>
          <w:sz w:val="24"/>
        </w:rPr>
        <w:t>Equity. We will recommend to the Dropbox Board of Directors (or its delegate) that you be granted restricted stock units (“</w:t>
      </w:r>
      <w:r>
        <w:rPr>
          <w:rFonts w:ascii="Times New Roman;serif" w:hAnsi="Times New Roman;serif"/>
          <w:b w:val="false"/>
          <w:i/>
          <w:color w:val="000000"/>
          <w:sz w:val="24"/>
        </w:rPr>
        <w:t>RSUs</w:t>
      </w:r>
      <w:r>
        <w:rPr>
          <w:color w:val="000000"/>
        </w:rPr>
        <w:t>”</w:t>
      </w:r>
      <w:r>
        <w:rPr>
          <w:rFonts w:ascii="Times New Roman;serif" w:hAnsi="Times New Roman;serif"/>
          <w:b w:val="false"/>
          <w:color w:val="000000"/>
          <w:sz w:val="24"/>
        </w:rPr>
        <w:t xml:space="preserve">) with an approximate current value of $23,250,000.00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Nothing in this Agreement, including Section 10, requires that a change to your start date be in a writing signed by both parties. An electronic agreement to your new start date by both parties will be sufficient.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under Dropbox’s equity incentive plan, with the number of shares granted to be determined by the average closing price of Dropbox common stock for the month prior to the grant date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 for Dropbox to issue any equity grant. Further details on the equity plan will be provided upon the Board’s (or its delegate’s) approval of the Grant.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Benefits.</w:t>
      </w:r>
      <w:r>
        <w:rPr>
          <w:color w:val="000000"/>
        </w:rPr>
        <w:t xml:space="preserve"> </w:t>
      </w:r>
      <w:r>
        <w:rPr>
          <w:rFonts w:ascii="Times New Roman;serif" w:hAnsi="Times New Roman;serif"/>
          <w:b w:val="false"/>
          <w:color w:val="000000"/>
          <w:sz w:val="24"/>
        </w:rPr>
        <w:t xml:space="preserve">You and your family members will be eligible to participate in Dropbox’s standard employee benefits plans as they are provided to US - Washington - Seattle Metro, USA employees to the extent that you meet their eligibility criteria. This Section 2 does not create any obligation on the part of Dropbox to adopt or maintain any employee benefit plan or program </w:t>
      </w:r>
      <w:r>
        <w:rPr>
          <w:rFonts w:ascii="Times New Roman;serif" w:hAnsi="Times New Roman;serif"/>
          <w:b w:val="false"/>
          <w:color w:val="000000"/>
          <w:sz w:val="24"/>
          <w:shd w:fill="FFFFFF" w:val="clear"/>
        </w:rPr>
        <w:t xml:space="preserve">at any time. Dropbox may </w:t>
      </w:r>
      <w:r>
        <w:rPr>
          <w:rFonts w:ascii="Times New Roman;serif" w:hAnsi="Times New Roman;serif"/>
          <w:b w:val="false"/>
          <w:color w:val="000000"/>
          <w:sz w:val="24"/>
        </w:rPr>
        <w:t>amend or terminate, any employee benefit plan or program</w:t>
      </w:r>
      <w:r>
        <w:rPr>
          <w:color w:val="000000"/>
          <w:shd w:fill="FFFFFF" w:val="clear"/>
        </w:rPr>
        <w:t xml:space="preserve"> </w:t>
      </w:r>
      <w:r>
        <w:rPr>
          <w:rFonts w:ascii="Times New Roman;serif" w:hAnsi="Times New Roman;serif"/>
          <w:b w:val="false"/>
          <w:color w:val="000000"/>
          <w:sz w:val="24"/>
          <w:shd w:fill="FFFFFF" w:val="clear"/>
        </w:rPr>
        <w:t>at any time</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Compliance with Applicable Law and Company Policies; Compensation Recovery</w:t>
      </w:r>
      <w:r>
        <w:rPr>
          <w:rFonts w:ascii="Times New Roman;serif" w:hAnsi="Times New Roman;serif"/>
          <w:b w:val="false"/>
          <w:color w:val="000000"/>
          <w:sz w:val="24"/>
        </w:rPr>
        <w:t>. You must comply with applicable law, the Company’s Worldwide Code of Business Conduct and Ethics, and the Company’s corporate policies, as applicable, including without limitation, any compensation recovery policies maintained by the Company from time to time. Notwithstanding anything to the contrary herein, (i) compliance with applicable law, the Company’s Worldwide Code of Business Conduct and Ethics, and the Company’s corporate policies, as applicable, will be a pre-condition to earning, or vesting in, any incentive compensation, and (ii) any incentive compensation which is subject to the Company’s Incentive-Based Compensation Recovery Policy will not be earned or vested, even if already granted, paid or settled, until such policy ceases to apply to such compensation and any other conditions applicable to such compensation are satisfied.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Duty of Loyalty.</w:t>
      </w:r>
      <w:r>
        <w:rPr>
          <w:color w:val="000000"/>
        </w:rPr>
        <w:t xml:space="preserve"> </w:t>
      </w:r>
      <w:r>
        <w:rPr>
          <w:rFonts w:ascii="Times New Roman;serif" w:hAnsi="Times New Roman;serif"/>
          <w:b w:val="false"/>
          <w:color w:val="000000"/>
          <w:sz w:val="24"/>
        </w:rPr>
        <w:t xml:space="preserve">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that competes or may compete with Dropbox. During the period that you render services to Dropbox, you will not assist any other person or organization in competing with Dropbox or in preparing to engage in competition with the business or proposed business of Dropbox.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At-Will Employment.</w:t>
      </w:r>
      <w:r>
        <w:rPr>
          <w:color w:val="000000"/>
        </w:rPr>
        <w:t xml:space="preserve"> </w:t>
      </w:r>
      <w:r>
        <w:rPr>
          <w:rFonts w:ascii="Times New Roman;serif" w:hAnsi="Times New Roman;serif"/>
          <w:b w:val="false"/>
          <w:color w:val="000000"/>
          <w:sz w:val="24"/>
        </w:rPr>
        <w:t>If you decide to accept our offer, and we hope that you will, you will be an at-will 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Authorization to Work.</w:t>
      </w:r>
      <w:r>
        <w:rPr>
          <w:color w:val="000000"/>
        </w:rPr>
        <w:t xml:space="preserve"> </w:t>
      </w:r>
      <w:r>
        <w:rPr>
          <w:rFonts w:ascii="Times New Roman;serif" w:hAnsi="Times New Roman;serif"/>
          <w:b w:val="false"/>
          <w:color w:val="000000"/>
          <w:sz w:val="24"/>
        </w:rPr>
        <w:t>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supervisor.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Arbitration (Not applicable to Sexual Harassment or Discrimination Claims)</w:t>
      </w:r>
      <w:r>
        <w:rPr>
          <w:rFonts w:ascii="Times New Roman;serif" w:hAnsi="Times New Roman;serif"/>
          <w:b w:val="false"/>
          <w:color w:val="000000"/>
          <w:sz w:val="24"/>
        </w:rPr>
        <w:t xml:space="preserve">.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 It’s entirely up to you.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 both arbitrable and non-arbitrable claims in the same or related action, both agree that the non-arbitrable claims shall be stayed until the conclusion of arbitration, to the extent allowed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the American Arbitration Association in the city closest to your work location where the AAA has an office, before a single neutral arbitrator, in accordance with the employment arbitration rules in effect at that time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alternatively, the parties may mutually agree on a location for arbitration through the AAA. The AAA Employment Arbitration Rules and Mediation may be found and reviewed at http://www.adr.org and click on “Rules and Procedures.” If you are unable to access these rules, please let the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Background Check.</w:t>
      </w:r>
      <w:r>
        <w:rPr>
          <w:color w:val="000000"/>
        </w:rPr>
        <w:t xml:space="preserve"> </w:t>
      </w:r>
      <w:r>
        <w:rPr>
          <w:rFonts w:ascii="Times New Roman;serif" w:hAnsi="Times New Roman;serif"/>
          <w:b w:val="false"/>
          <w:color w:val="000000"/>
          <w:sz w:val="24"/>
        </w:rPr>
        <w:t xml:space="preserve">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Complete Agreement</w:t>
      </w:r>
      <w:r>
        <w:rPr>
          <w:rFonts w:ascii="Times New Roman;serif" w:hAnsi="Times New Roman;serif"/>
          <w:b w:val="false"/>
          <w:color w:val="000000"/>
          <w:sz w:val="24"/>
        </w:rPr>
        <w:t>. This Agreement and the EIACA constitute the entire agreement relating to your employment and supersedes all prior offers, written or oral, with respect to your employment by Dropbox. Except as otherwise stated above, this Agreement may only be modified by an agreement in writing signed by both parties.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shd w:fill="FFFFFF" w:val="clear"/>
        </w:rPr>
        <w:t>This Agreement, except to the extent governed by the Federal Arbitration Act, will be governed b</w:t>
      </w:r>
      <w:r>
        <w:rPr>
          <w:rFonts w:ascii="Times New Roman;serif" w:hAnsi="Times New Roman;serif"/>
          <w:b w:val="false"/>
          <w:color w:val="000000"/>
          <w:sz w:val="24"/>
        </w:rPr>
        <w:t>y the law of the state in which you work for Dropbox.</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Acceptance.</w:t>
      </w:r>
      <w:r>
        <w:rPr>
          <w:color w:val="000000"/>
        </w:rPr>
        <w:t xml:space="preserve"> </w:t>
      </w:r>
      <w:r>
        <w:rPr>
          <w:rFonts w:ascii="Times New Roman;serif" w:hAnsi="Times New Roman;serif"/>
          <w:b w:val="false"/>
          <w:color w:val="000000"/>
          <w:sz w:val="24"/>
        </w:rPr>
        <w:t xml:space="preserve">This offer will remain open until December 10, 2025 and is contingent upon you beginning continuous full-time employment by the commencement date above and in the location identified above. This offer, except to the extent governed by the Federal Arbitration Act, will be governed by US - Washington - Seattle Metro, USA law. Your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signature will acknowledge that you have read and understood and agree to the terms of this offer and any attachments.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look forward to welcoming you to Dropbox.</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Drew Houston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Drew Houston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have read and understood this offer letter and hereby acknowledge, accept and agree to the terms as set forth above and further acknowledge that no other commitments were made to me as part of my employment offer except as specifically set forth herein.</w:t>
      </w:r>
    </w:p>
    <w:p>
      <w:pPr>
        <w:pStyle w:val="TextBody"/>
        <w:bidi w:val="0"/>
        <w:spacing w:before="240" w:after="283"/>
        <w:jc w:val="both"/>
        <w:rPr/>
      </w:pPr>
      <w:r>
        <w:rPr/>
      </w:r>
    </w:p>
    <w:tbl>
      <w:tblPr>
        <w:tblW w:w="8789" w:type="dxa"/>
        <w:jc w:val="left"/>
        <w:tblInd w:w="0" w:type="dxa"/>
        <w:tblLayout w:type="fixed"/>
        <w:tblCellMar>
          <w:top w:w="28" w:type="dxa"/>
          <w:left w:w="28" w:type="dxa"/>
          <w:bottom w:w="28" w:type="dxa"/>
          <w:right w:w="28" w:type="dxa"/>
        </w:tblCellMar>
      </w:tblPr>
      <w:tblGrid>
        <w:gridCol w:w="1609"/>
        <w:gridCol w:w="1414"/>
        <w:gridCol w:w="1417"/>
        <w:gridCol w:w="1272"/>
        <w:gridCol w:w="1272"/>
        <w:gridCol w:w="1805"/>
      </w:tblGrid>
      <w:tr>
        <w:trPr/>
        <w:tc>
          <w:tcPr>
            <w:tcW w:w="16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Ross Tennenbaum</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Ross Tennenbaum</w:t>
            </w:r>
          </w:p>
        </w:tc>
        <w:tc>
          <w:tcPr>
            <w:tcW w:w="43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22222"/>
                <w:sz w:val="24"/>
                <w:shd w:fill="FFFFFF" w:val="clear"/>
              </w:rPr>
            </w:pPr>
            <w:r>
              <w:rPr>
                <w:rFonts w:ascii="Times New Roman;serif" w:hAnsi="Times New Roman;serif"/>
                <w:b w:val="false"/>
                <w:color w:val="222222"/>
                <w:sz w:val="24"/>
                <w:shd w:fill="FFFFFF" w:val="clear"/>
              </w:rPr>
              <w:t>12/5/2025</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 xml:space="preserve">Date Signed </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4"/>
        </w:rPr>
      </w:pPr>
      <w:r>
        <w:rPr>
          <w:rFonts w:ascii="Times New Roman;serif" w:hAnsi="Times New Roman;serif"/>
          <w:b/>
          <w:color w:val="000000"/>
          <w:sz w:val="24"/>
        </w:rPr>
        <w:t>Exhibit 10.30</w:t>
      </w:r>
    </w:p>
    <w:p>
      <w:pPr>
        <w:pStyle w:val="TextBody"/>
        <w:bidi w:val="0"/>
        <w:spacing w:lineRule="auto" w:line="240" w:before="240" w:after="283"/>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INDEMNIFICATION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This Indemnification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dated as of [___________ ____, _____] and is between Dropbox, Inc., a Nevada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[_______] (“</w:t>
      </w:r>
      <w:r>
        <w:rPr>
          <w:rFonts w:ascii="Times New Roman;serif" w:hAnsi="Times New Roman;serif"/>
          <w:b/>
          <w:i/>
          <w:color w:val="000000"/>
          <w:sz w:val="22"/>
        </w:rPr>
        <w:t>Indemnitee</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9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Indemnitee’s service to the Company substantially benefits the Company.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In order to induce Indemnitee to continue to provide services to the Company, it is reasonable, prudent and necessary for the Company to contractually obligate itself to indemnify, and to advance expenses on behalf of, Indemnitee as permitted by applicable law.</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This Agreement is a supplement to and in furtherance of the indemnification provided in the Company’s articles of incorporation and bylaws, and any resolutions adopted pursuant thereto, and this Agreement shall not be deemed a substitute therefor, nor shall this Agreement be deemed to limit, diminish or abrogate any rights of Indemnitee thereunder.</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therefore agree as follows:</w:t>
      </w:r>
    </w:p>
    <w:p>
      <w:pPr>
        <w:pStyle w:val="TextBody"/>
        <w:bidi w:val="0"/>
        <w:spacing w:lineRule="auto" w:line="240" w:before="240" w:after="283"/>
        <w:ind w:left="0" w:right="0" w:firstLine="720"/>
        <w:jc w:val="left"/>
        <w:rPr/>
      </w:pPr>
      <w:r>
        <w:rPr>
          <w:rFonts w:ascii="Times New Roman;serif" w:hAnsi="Times New Roman;serif"/>
          <w:b w:val="false"/>
          <w:color w:val="000000"/>
          <w:sz w:val="22"/>
        </w:rPr>
        <w:t>1.</w:t>
      </w:r>
      <w:r>
        <w:rPr>
          <w:rFonts w:ascii="Times New Roman;serif" w:hAnsi="Times New Roman;serif"/>
          <w:b/>
          <w:color w:val="000000"/>
          <w:sz w:val="22"/>
        </w:rPr>
        <w:t xml:space="preserve">Definitions.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 “</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shall be deemed to occur upon the earliest to occur after the date of this Agreement of any of the following events:</w:t>
      </w:r>
    </w:p>
    <w:p>
      <w:pPr>
        <w:pStyle w:val="TextBody"/>
        <w:bidi w:val="0"/>
        <w:spacing w:lineRule="auto" w:line="240" w:before="240" w:after="283"/>
        <w:ind w:left="0" w:right="0" w:firstLine="2520"/>
        <w:jc w:val="both"/>
        <w:rPr/>
      </w:pPr>
      <w:r>
        <w:rPr>
          <w:rFonts w:ascii="Times New Roman;serif" w:hAnsi="Times New Roman;serif"/>
          <w:b w:val="false"/>
          <w:color w:val="000000"/>
          <w:sz w:val="22"/>
        </w:rPr>
        <w:t>(i)</w:t>
      </w:r>
      <w:r>
        <w:rPr>
          <w:rFonts w:ascii="Times New Roman;serif" w:hAnsi="Times New Roman;serif"/>
          <w:b w:val="false"/>
          <w:i/>
          <w:color w:val="000000"/>
          <w:sz w:val="22"/>
        </w:rPr>
        <w:t>Acquisition of Stock by Third Party.</w:t>
      </w:r>
      <w:r>
        <w:rPr>
          <w:color w:val="000000"/>
        </w:rPr>
        <w:t xml:space="preserve"> </w:t>
      </w:r>
      <w:r>
        <w:rPr>
          <w:rFonts w:ascii="Times New Roman;serif" w:hAnsi="Times New Roman;serif"/>
          <w:b w:val="false"/>
          <w:color w:val="000000"/>
          <w:sz w:val="22"/>
        </w:rPr>
        <w:t>Any Person (as defined below) becomes the Beneficial Owner (as defined below), directly or indirectly, of securities of the Company representing fifteen percent (15%) or more of the combined voting power of the Company’s then outstanding securities;</w:t>
      </w:r>
    </w:p>
    <w:p>
      <w:pPr>
        <w:pStyle w:val="TextBody"/>
        <w:bidi w:val="0"/>
        <w:spacing w:lineRule="auto" w:line="240" w:before="240" w:after="283"/>
        <w:ind w:left="0" w:right="0" w:firstLine="2520"/>
        <w:jc w:val="both"/>
        <w:rPr/>
      </w:pPr>
      <w:r>
        <w:rPr>
          <w:rFonts w:ascii="Times New Roman;serif" w:hAnsi="Times New Roman;serif"/>
          <w:b w:val="false"/>
          <w:color w:val="000000"/>
          <w:sz w:val="22"/>
        </w:rPr>
        <w:t>(ii)</w:t>
      </w:r>
      <w:r>
        <w:rPr>
          <w:rFonts w:ascii="Times New Roman;serif" w:hAnsi="Times New Roman;serif"/>
          <w:b w:val="false"/>
          <w:i/>
          <w:color w:val="000000"/>
          <w:sz w:val="22"/>
        </w:rPr>
        <w:t>Change in Board Composition.</w:t>
      </w:r>
      <w:r>
        <w:rPr>
          <w:color w:val="000000"/>
        </w:rPr>
        <w:t xml:space="preserve"> </w:t>
      </w:r>
      <w:r>
        <w:rPr>
          <w:rFonts w:ascii="Times New Roman;serif" w:hAnsi="Times New Roman;serif"/>
          <w:b w:val="false"/>
          <w:color w:val="000000"/>
          <w:sz w:val="22"/>
        </w:rPr>
        <w:t>During any period of two consecutive years (not including any period prior 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7660"/>
                <wp:effectExtent l="0" t="0" r="0" b="0"/>
                <wp:wrapNone/>
                <wp:docPr id="131" name="Frame13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40" w:before="240" w:after="283"/>
        <w:ind w:left="0" w:right="0" w:firstLine="2520"/>
        <w:jc w:val="both"/>
        <w:rPr/>
      </w:pPr>
      <w:r>
        <w:rPr>
          <w:rFonts w:ascii="Times New Roman;serif" w:hAnsi="Times New Roman;serif"/>
          <w:b w:val="false"/>
          <w:color w:val="000000"/>
          <w:sz w:val="22"/>
        </w:rPr>
        <w:t>(iii)</w:t>
      </w:r>
      <w:r>
        <w:rPr>
          <w:rFonts w:ascii="Times New Roman;serif" w:hAnsi="Times New Roman;serif"/>
          <w:b w:val="false"/>
          <w:i/>
          <w:color w:val="000000"/>
          <w:sz w:val="22"/>
        </w:rPr>
        <w:t>Corporate Transactions.</w:t>
      </w:r>
      <w:r>
        <w:rPr>
          <w:color w:val="000000"/>
        </w:rPr>
        <w:t xml:space="preserve"> </w:t>
      </w:r>
      <w:r>
        <w:rPr>
          <w:rFonts w:ascii="Times New Roman;serif" w:hAnsi="Times New Roman;serif"/>
          <w:b w:val="false"/>
          <w:color w:val="000000"/>
          <w:sz w:val="22"/>
        </w:rPr>
        <w:t>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pStyle w:val="TextBody"/>
        <w:bidi w:val="0"/>
        <w:spacing w:lineRule="auto" w:line="240" w:before="240" w:after="283"/>
        <w:ind w:left="0" w:right="0" w:firstLine="2520"/>
        <w:jc w:val="both"/>
        <w:rPr/>
      </w:pPr>
      <w:r>
        <w:rPr>
          <w:rFonts w:ascii="Times New Roman;serif" w:hAnsi="Times New Roman;serif"/>
          <w:b w:val="false"/>
          <w:color w:val="000000"/>
          <w:sz w:val="22"/>
        </w:rPr>
        <w:t>(iv)</w:t>
      </w:r>
      <w:r>
        <w:rPr>
          <w:rFonts w:ascii="Times New Roman;serif" w:hAnsi="Times New Roman;serif"/>
          <w:b w:val="false"/>
          <w:i/>
          <w:color w:val="000000"/>
          <w:sz w:val="22"/>
        </w:rPr>
        <w:t>Liquidation.</w:t>
      </w:r>
      <w:r>
        <w:rPr>
          <w:color w:val="000000"/>
        </w:rPr>
        <w:t xml:space="preserve"> </w:t>
      </w:r>
      <w:r>
        <w:rPr>
          <w:rFonts w:ascii="Times New Roman;serif" w:hAnsi="Times New Roman;serif"/>
          <w:b w:val="false"/>
          <w:color w:val="000000"/>
          <w:sz w:val="22"/>
        </w:rPr>
        <w:t>The approval by the stockholders of the Company of a complete liquidation of the Company or an agreement for the sale or disposition by the Company of all or substantially all of the Company’s assets; and</w:t>
      </w:r>
    </w:p>
    <w:p>
      <w:pPr>
        <w:pStyle w:val="TextBody"/>
        <w:bidi w:val="0"/>
        <w:spacing w:lineRule="auto" w:line="240" w:before="240" w:after="283"/>
        <w:ind w:left="0" w:right="0" w:firstLine="2520"/>
        <w:jc w:val="both"/>
        <w:rPr/>
      </w:pPr>
      <w:r>
        <w:rPr>
          <w:rFonts w:ascii="Times New Roman;serif" w:hAnsi="Times New Roman;serif"/>
          <w:b w:val="false"/>
          <w:color w:val="000000"/>
          <w:sz w:val="22"/>
        </w:rPr>
        <w:t>(v)</w:t>
      </w:r>
      <w:r>
        <w:rPr>
          <w:rFonts w:ascii="Times New Roman;serif" w:hAnsi="Times New Roman;serif"/>
          <w:b w:val="false"/>
          <w:i/>
          <w:color w:val="000000"/>
          <w:sz w:val="22"/>
        </w:rPr>
        <w:t>Other Events.</w:t>
      </w:r>
      <w:r>
        <w:rPr>
          <w:color w:val="000000"/>
        </w:rPr>
        <w:t xml:space="preserve"> </w:t>
      </w:r>
      <w:r>
        <w:rPr>
          <w:rFonts w:ascii="Times New Roman;serif" w:hAnsi="Times New Roman;serif"/>
          <w:b w:val="false"/>
          <w:color w:val="000000"/>
          <w:sz w:val="22"/>
        </w:rPr>
        <w:t xml:space="preserve">Any other event of a nature that would be required to be reported in response to Item 6(e) of Schedule 14A of Regulation 14A (or in response to any similar item on any similar schedule or form) promulgated under the Securities Exchange Act of 1934, as amended, whether or not the Company is then subject to such reporting requirement, </w:t>
      </w:r>
      <w:r>
        <w:rPr>
          <w:rFonts w:ascii="Times New Roman;serif" w:hAnsi="Times New Roman;serif"/>
          <w:b w:val="false"/>
          <w:i/>
          <w:color w:val="000000"/>
          <w:sz w:val="22"/>
        </w:rPr>
        <w:t xml:space="preserve">except </w:t>
      </w:r>
      <w:r>
        <w:rPr>
          <w:rFonts w:ascii="Times New Roman;serif" w:hAnsi="Times New Roman;serif"/>
          <w:b w:val="false"/>
          <w:color w:val="000000"/>
          <w:sz w:val="22"/>
        </w:rPr>
        <w:t>the completion of the Company’s initial public offering shall not be considered a Change in Control.</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Section 1(a), the following terms shall have the following meanings:</w:t>
      </w:r>
    </w:p>
    <w:p>
      <w:pPr>
        <w:pStyle w:val="TextBody"/>
        <w:bidi w:val="0"/>
        <w:spacing w:lineRule="auto" w:line="240" w:before="240" w:after="283"/>
        <w:ind w:left="0" w:right="0" w:firstLine="2880"/>
        <w:jc w:val="both"/>
        <w:rPr/>
      </w:pPr>
      <w:r>
        <w:rPr>
          <w:rFonts w:ascii="Times New Roman;serif" w:hAnsi="Times New Roman;serif"/>
          <w:b w:val="false"/>
          <w:color w:val="000000"/>
          <w:sz w:val="22"/>
        </w:rPr>
        <w:t>(1)</w:t>
      </w: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 xml:space="preserve">shall have the meaning as set forth in Sections 13(d) and 14(d) of the Securities Exchange Act of 1934, as amended;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pStyle w:val="TextBody"/>
        <w:bidi w:val="0"/>
        <w:spacing w:lineRule="auto" w:line="240" w:before="240" w:after="283"/>
        <w:ind w:left="0" w:right="0" w:firstLine="2880"/>
        <w:jc w:val="both"/>
        <w:rPr/>
      </w:pPr>
      <w:r>
        <w:rPr>
          <w:rFonts w:ascii="Times New Roman;serif" w:hAnsi="Times New Roman;serif"/>
          <w:b w:val="false"/>
          <w:color w:val="000000"/>
          <w:sz w:val="22"/>
        </w:rPr>
        <w:t>(2)</w:t>
      </w:r>
      <w:r>
        <w:rPr>
          <w:color w:val="000000"/>
        </w:rPr>
        <w:t>“</w:t>
      </w:r>
      <w:r>
        <w:rPr>
          <w:rFonts w:ascii="Times New Roman;serif" w:hAnsi="Times New Roman;serif"/>
          <w:b/>
          <w:i/>
          <w:color w:val="000000"/>
          <w:sz w:val="22"/>
        </w:rPr>
        <w:t>Beneficial Owner</w:t>
      </w:r>
      <w:r>
        <w:rPr>
          <w:color w:val="000000"/>
        </w:rPr>
        <w:t xml:space="preserve">” </w:t>
      </w:r>
      <w:r>
        <w:rPr>
          <w:rFonts w:ascii="Times New Roman;serif" w:hAnsi="Times New Roman;serif"/>
          <w:b w:val="false"/>
          <w:color w:val="000000"/>
          <w:sz w:val="22"/>
        </w:rPr>
        <w:t xml:space="preserve">shall have the meaning given to such term in Rule 13d-3 under the Securities Exchange Act of 1934, as amended;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w:t>
      </w:r>
      <w:r>
        <w:rPr>
          <w:rFonts w:ascii="Times New Roman;serif" w:hAnsi="Times New Roman;serif"/>
          <w:b/>
          <w:i/>
          <w:color w:val="000000"/>
          <w:sz w:val="22"/>
        </w:rPr>
        <w:t>Beneficial Owner</w:t>
      </w:r>
      <w:r>
        <w:rPr>
          <w:color w:val="000000"/>
        </w:rPr>
        <w:t xml:space="preserve">” </w:t>
      </w:r>
      <w:r>
        <w:rPr>
          <w:rFonts w:ascii="Times New Roman;serif" w:hAnsi="Times New Roman;serif"/>
          <w:b w:val="false"/>
          <w:color w:val="000000"/>
          <w:sz w:val="22"/>
        </w:rPr>
        <w:t>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color w:val="000000"/>
        </w:rPr>
        <w:t>“</w:t>
      </w:r>
      <w:r>
        <w:rPr>
          <w:rFonts w:ascii="Times New Roman;serif" w:hAnsi="Times New Roman;serif"/>
          <w:b/>
          <w:i/>
          <w:color w:val="000000"/>
          <w:sz w:val="22"/>
        </w:rPr>
        <w:t>Corporate Status</w:t>
      </w:r>
      <w:r>
        <w:rPr>
          <w:color w:val="000000"/>
        </w:rPr>
        <w:t xml:space="preserve">” </w:t>
      </w:r>
      <w:r>
        <w:rPr>
          <w:rFonts w:ascii="Times New Roman;serif" w:hAnsi="Times New Roman;serif"/>
          <w:b w:val="false"/>
          <w:color w:val="000000"/>
          <w:sz w:val="22"/>
        </w:rPr>
        <w:t>describes the status of a person who is or was a director, trustee, general partner, managing member or manager (of a limited liability company), officer, employee, agent or fiduciary of the Company or any other Enterprise.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color w:val="000000"/>
        </w:rPr>
        <w:t>“</w:t>
      </w:r>
      <w:r>
        <w:rPr>
          <w:rFonts w:ascii="Times New Roman;serif" w:hAnsi="Times New Roman;serif"/>
          <w:b/>
          <w:i/>
          <w:color w:val="000000"/>
          <w:sz w:val="22"/>
        </w:rPr>
        <w:t>Disinterested Director</w:t>
      </w:r>
      <w:r>
        <w:rPr>
          <w:color w:val="000000"/>
        </w:rPr>
        <w:t xml:space="preserve">” </w:t>
      </w:r>
      <w:r>
        <w:rPr>
          <w:rFonts w:ascii="Times New Roman;serif" w:hAnsi="Times New Roman;serif"/>
          <w:b w:val="false"/>
          <w:color w:val="000000"/>
          <w:sz w:val="22"/>
        </w:rPr>
        <w:t>means a director of the Company who is not and was not a party to the Proceeding in respect of which indemnification is sought by Indemnitee.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color w:val="000000"/>
        </w:rPr>
        <w:t>“</w:t>
      </w:r>
      <w:r>
        <w:rPr>
          <w:rFonts w:ascii="Times New Roman;serif" w:hAnsi="Times New Roman;serif"/>
          <w:b/>
          <w:i/>
          <w:color w:val="000000"/>
          <w:sz w:val="22"/>
        </w:rPr>
        <w:t>Enterprise</w:t>
      </w:r>
      <w:r>
        <w:rPr>
          <w:color w:val="000000"/>
        </w:rPr>
        <w:t xml:space="preserve">” </w:t>
      </w:r>
      <w:r>
        <w:rPr>
          <w:rFonts w:ascii="Times New Roman;serif" w:hAnsi="Times New Roman;serif"/>
          <w:b w:val="false"/>
          <w:color w:val="000000"/>
          <w:sz w:val="22"/>
        </w:rPr>
        <w:t>means the Company and any other corporation, partnership, limited liability company, joint venture, trust, employee benefit plan or other enterprise of which Indemnitee is or was serving at the request of the Company as a director, trustee, general partner, managing member or manager, officer, employee, agent or fiduciary.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(e)</w:t>
      </w:r>
      <w:r>
        <w:rPr>
          <w:color w:val="000000"/>
        </w:rPr>
        <w:t>“</w:t>
      </w:r>
      <w:r>
        <w:rPr>
          <w:rFonts w:ascii="Times New Roman;serif" w:hAnsi="Times New Roman;serif"/>
          <w:b/>
          <w:i/>
          <w:color w:val="000000"/>
          <w:sz w:val="22"/>
        </w:rPr>
        <w:t>Expenses</w:t>
      </w:r>
      <w:r>
        <w:rPr>
          <w:color w:val="000000"/>
        </w:rPr>
        <w:t xml:space="preserve">” </w:t>
      </w:r>
      <w:r>
        <w:rPr>
          <w:rFonts w:ascii="Times New Roman;serif" w:hAnsi="Times New Roman;serif"/>
          <w:b w:val="false"/>
          <w:color w:val="000000"/>
          <w:sz w:val="22"/>
        </w:rPr>
        <w:t xml:space="preserve">include all reasonable and actually incurred attorneys’ fees, retainers, court costs, transcript costs, fees and costs of experts, witness fees, travel expenses, duplicating costs, printing and binding costs, telephone or other electronic communication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Company. Expenses, however, shall not include amounts paid in settlement by Indemnitee or the amount of judgments or fines against Indemnitee.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(f)</w:t>
      </w:r>
      <w:r>
        <w:rPr>
          <w:color w:val="000000"/>
        </w:rPr>
        <w:t>“</w:t>
      </w:r>
      <w:r>
        <w:rPr>
          <w:rFonts w:ascii="Times New Roman;serif" w:hAnsi="Times New Roman;serif"/>
          <w:b/>
          <w:i/>
          <w:color w:val="000000"/>
          <w:sz w:val="22"/>
        </w:rPr>
        <w:t>Independent Counsel</w:t>
      </w:r>
      <w:r>
        <w:rPr>
          <w:color w:val="000000"/>
        </w:rPr>
        <w:t xml:space="preserve">” </w:t>
      </w:r>
      <w:r>
        <w:rPr>
          <w:rFonts w:ascii="Times New Roman;serif" w:hAnsi="Times New Roman;serif"/>
          <w:b w:val="false"/>
          <w:color w:val="000000"/>
          <w:sz w:val="22"/>
        </w:rPr>
        <w:t>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serif" w:hAnsi="Times New Roman;serif"/>
          <w:b/>
          <w:i/>
          <w:color w:val="000000"/>
          <w:sz w:val="22"/>
        </w:rPr>
        <w:t>Independent Counsel</w:t>
      </w:r>
      <w:r>
        <w:rPr>
          <w:color w:val="000000"/>
        </w:rPr>
        <w:t xml:space="preserve">” </w:t>
      </w:r>
      <w:r>
        <w:rPr>
          <w:rFonts w:ascii="Times New Roman;serif" w:hAnsi="Times New Roman;serif"/>
          <w:b w:val="false"/>
          <w:color w:val="000000"/>
          <w:sz w:val="22"/>
        </w:rPr>
        <w:t>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(g)</w:t>
      </w:r>
      <w:r>
        <w:rPr>
          <w:color w:val="000000"/>
        </w:rPr>
        <w:t>“</w:t>
      </w:r>
      <w:r>
        <w:rPr>
          <w:rFonts w:ascii="Times New Roman;serif" w:hAnsi="Times New Roman;serif"/>
          <w:b/>
          <w:i/>
          <w:color w:val="000000"/>
          <w:sz w:val="22"/>
        </w:rPr>
        <w:t>Proceeding</w:t>
      </w:r>
      <w:r>
        <w:rPr>
          <w:color w:val="000000"/>
        </w:rPr>
        <w:t xml:space="preserve">” </w:t>
      </w:r>
      <w:r>
        <w:rPr>
          <w:rFonts w:ascii="Times New Roman;serif" w:hAnsi="Times New Roman;serif"/>
          <w:b w:val="false"/>
          <w:color w:val="000000"/>
          <w:sz w:val="22"/>
        </w:rPr>
        <w:t>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in each instance while acting as a director or officer of the Company, or (iii) the fact that he or she is or was serving at the request of the Company as a director, trustee, general partner, managing member or manager,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(h)</w:t>
      </w:r>
      <w:r>
        <w:rPr>
          <w:color w:val="000000"/>
        </w:rPr>
        <w:t>“</w:t>
      </w:r>
      <w:r>
        <w:rPr>
          <w:rFonts w:ascii="Times New Roman;serif" w:hAnsi="Times New Roman;serif"/>
          <w:b/>
          <w:i/>
          <w:color w:val="000000"/>
          <w:sz w:val="22"/>
        </w:rPr>
        <w:t>NRS</w:t>
      </w:r>
      <w:r>
        <w:rPr>
          <w:color w:val="000000"/>
        </w:rPr>
        <w:t xml:space="preserve">” </w:t>
      </w:r>
      <w:r>
        <w:rPr>
          <w:rFonts w:ascii="Times New Roman;serif" w:hAnsi="Times New Roman;serif"/>
          <w:b w:val="false"/>
          <w:color w:val="000000"/>
          <w:sz w:val="22"/>
        </w:rPr>
        <w:t>means the Nevada Revised Statutes, as amended from time to time.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Reference to “</w:t>
      </w:r>
      <w:r>
        <w:rPr>
          <w:rFonts w:ascii="Times New Roman;serif" w:hAnsi="Times New Roman;serif"/>
          <w:b/>
          <w:i/>
          <w:color w:val="000000"/>
          <w:sz w:val="22"/>
        </w:rPr>
        <w:t>other enterprises</w:t>
      </w:r>
      <w:r>
        <w:rPr>
          <w:color w:val="000000"/>
        </w:rPr>
        <w:t xml:space="preserve">” </w:t>
      </w:r>
      <w:r>
        <w:rPr>
          <w:rFonts w:ascii="Times New Roman;serif" w:hAnsi="Times New Roman;serif"/>
          <w:b w:val="false"/>
          <w:color w:val="000000"/>
          <w:sz w:val="22"/>
        </w:rPr>
        <w:t>shall include employee benefit plans; references to “</w:t>
      </w:r>
      <w:r>
        <w:rPr>
          <w:rFonts w:ascii="Times New Roman;serif" w:hAnsi="Times New Roman;serif"/>
          <w:b/>
          <w:i/>
          <w:color w:val="000000"/>
          <w:sz w:val="22"/>
        </w:rPr>
        <w:t>fines</w:t>
      </w:r>
      <w:r>
        <w:rPr>
          <w:color w:val="000000"/>
        </w:rPr>
        <w:t xml:space="preserve">” </w:t>
      </w:r>
      <w:r>
        <w:rPr>
          <w:rFonts w:ascii="Times New Roman;serif" w:hAnsi="Times New Roman;serif"/>
          <w:b w:val="false"/>
          <w:color w:val="000000"/>
          <w:sz w:val="22"/>
        </w:rPr>
        <w:t>shall include any excise taxes assessed on a person with respect to any employee benefit plan; references to “</w:t>
      </w:r>
      <w:r>
        <w:rPr>
          <w:rFonts w:ascii="Times New Roman;serif" w:hAnsi="Times New Roman;serif"/>
          <w:b/>
          <w:i/>
          <w:color w:val="000000"/>
          <w:sz w:val="22"/>
        </w:rPr>
        <w:t>serving at the request of the Company</w:t>
      </w:r>
      <w:r>
        <w:rPr>
          <w:color w:val="000000"/>
        </w:rPr>
        <w:t xml:space="preserve">” </w:t>
      </w:r>
      <w:r>
        <w:rPr>
          <w:rFonts w:ascii="Times New Roman;serif" w:hAnsi="Times New Roman;serif"/>
          <w:b w:val="false"/>
          <w:color w:val="000000"/>
          <w:sz w:val="22"/>
        </w:rPr>
        <w:t>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serif" w:hAnsi="Times New Roman;serif"/>
          <w:b/>
          <w:i/>
          <w:color w:val="000000"/>
          <w:sz w:val="22"/>
        </w:rPr>
        <w:t>not opposed to the best interests of the Company</w:t>
      </w:r>
      <w:r>
        <w:rPr>
          <w:color w:val="000000"/>
        </w:rPr>
        <w:t xml:space="preserve">” </w:t>
      </w:r>
      <w:r>
        <w:rPr>
          <w:rFonts w:ascii="Times New Roman;serif" w:hAnsi="Times New Roman;serif"/>
          <w:b w:val="false"/>
          <w:color w:val="000000"/>
          <w:sz w:val="22"/>
        </w:rPr>
        <w:t>as referred to in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rPr>
        <w:t>Indemnity in Third-Party Proceedings.</w:t>
      </w:r>
      <w:r>
        <w:rPr>
          <w:color w:val="000000"/>
        </w:rPr>
        <w:t xml:space="preserve"> </w:t>
      </w:r>
      <w:r>
        <w:rPr>
          <w:rFonts w:ascii="Times New Roman;serif" w:hAnsi="Times New Roman;serif"/>
          <w:b w:val="false"/>
          <w:color w:val="000000"/>
          <w:sz w:val="22"/>
        </w:rPr>
        <w:t xml:space="preserve">The Company shall indemnify Indemnitee in accordance with the provisions of this 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 is not liable pursuant to NRS 78.138 or (b)] acted in good faith and in a manner he or she reasonably believed to be in or not opposed to the best interests of the Company and, with respect to any criminal action or proceeding, had no reasonable cause to believe that his or her conduct was unlawful.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2"/>
        </w:rPr>
        <w:t>Indemnity in Proceedings by or in the Right of the Company.</w:t>
      </w:r>
      <w:r>
        <w:rPr>
          <w:color w:val="000000"/>
        </w:rPr>
        <w:t xml:space="preserve"> </w:t>
      </w:r>
      <w:r>
        <w:rPr>
          <w:rFonts w:ascii="Times New Roman;serif" w:hAnsi="Times New Roman;serif"/>
          <w:b w:val="false"/>
          <w:color w:val="000000"/>
          <w:sz w:val="22"/>
        </w:rPr>
        <w:t xml:space="preserve">The Company shall indemnify Indemnitee in accordance with 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 is not liable pursuant to NRS 78.138 or (b)] acted in good faith and in a manner he or she reasonably believed to be in or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court in which the Proceeding was brought shall determine upon application that, despite the adjudication of liability but in view of all the circumstances of the case, Indemnitee is fairly and reasonably entitled to indemnification for such expenses as t such court shall deem proper.</w:t>
      </w:r>
    </w:p>
    <w:p>
      <w:pPr>
        <w:pStyle w:val="TextBody"/>
        <w:bidi w:val="0"/>
        <w:spacing w:lineRule="auto" w:line="240" w:before="240" w:after="283"/>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2"/>
        </w:rPr>
        <w:t>Indemnification for Expenses of a Party Who is Wholly or Partly Successful.</w:t>
      </w:r>
      <w:r>
        <w:rPr>
          <w:color w:val="000000"/>
        </w:rPr>
        <w:t xml:space="preserve"> </w:t>
      </w:r>
      <w:r>
        <w:rPr>
          <w:rFonts w:ascii="Times New Roman;serif" w:hAnsi="Times New Roman;serif"/>
          <w:b w:val="false"/>
          <w:color w:val="000000"/>
          <w:sz w:val="22"/>
        </w:rPr>
        <w:t>To the extent that Indemnitee is a party to 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shall be deemed to be a successful result as to such claim, issue or matter.</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2"/>
        </w:rPr>
        <w:t>Indemnification for Expenses of a Witness.</w:t>
      </w:r>
      <w:r>
        <w:rPr>
          <w:color w:val="000000"/>
        </w:rPr>
        <w:t xml:space="preserve"> </w:t>
      </w:r>
      <w:r>
        <w:rPr>
          <w:rFonts w:ascii="Times New Roman;serif" w:hAnsi="Times New Roman;serif"/>
          <w:b w:val="false"/>
          <w:color w:val="000000"/>
          <w:sz w:val="22"/>
        </w:rPr>
        <w:t>To the extent that Indemnitee is, by reason of his or her Corporate Status, a witness in any Proceeding to which Indemnitee is not a party, Indemnitee shall be indemnified to the extent permitted by applicable law against all Expenses actually and reasonably incurred by Indemnitee or on Indemnitee’s behalf in connection therewith.</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2"/>
        </w:rPr>
        <w:t>Additional Indemnification.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 limitation in Sections 2, 3 or 4, the Company shall indemnify Indemnitee to the fullest extent permitted by applicable law (including, without limitation, NRS 78.751(3))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For purposes of Section 6(a), the meaning of the phrase “</w:t>
      </w:r>
      <w:r>
        <w:rPr>
          <w:rFonts w:ascii="Times New Roman;serif" w:hAnsi="Times New Roman;serif"/>
          <w:b/>
          <w:i/>
          <w:color w:val="000000"/>
          <w:sz w:val="22"/>
        </w:rPr>
        <w:t>to the fullest extent permitted by applicable law</w:t>
      </w:r>
      <w:r>
        <w:rPr>
          <w:color w:val="000000"/>
        </w:rPr>
        <w:t xml:space="preserve">” </w:t>
      </w:r>
      <w:r>
        <w:rPr>
          <w:rFonts w:ascii="Times New Roman;serif" w:hAnsi="Times New Roman;serif"/>
          <w:b w:val="false"/>
          <w:color w:val="000000"/>
          <w:sz w:val="22"/>
        </w:rPr>
        <w:t>shall include, but not be limited to:</w:t>
      </w:r>
    </w:p>
    <w:p>
      <w:pPr>
        <w:pStyle w:val="TextBody"/>
        <w:bidi w:val="0"/>
        <w:spacing w:lineRule="auto" w:line="240" w:before="240" w:after="283"/>
        <w:ind w:left="0" w:right="0" w:firstLine="2520"/>
        <w:jc w:val="both"/>
        <w:rPr/>
      </w:pPr>
      <w:r>
        <w:rPr>
          <w:rFonts w:ascii="Times New Roman;serif" w:hAnsi="Times New Roman;serif"/>
          <w:b w:val="false"/>
          <w:color w:val="000000"/>
          <w:sz w:val="22"/>
        </w:rPr>
        <w:t>(i)</w:t>
      </w:r>
      <w:r>
        <w:rPr>
          <w:rFonts w:ascii="Times New Roman;serif" w:hAnsi="Times New Roman;serif"/>
          <w:b w:val="false"/>
          <w:color w:val="000000"/>
          <w:sz w:val="22"/>
        </w:rPr>
        <w:t>the fullest extent permitted by the provision of the NRS (including, without limitation, NRS 78.751(3)) that authorizes or contemplates additional indemnification by agreement, or the corresponding provision of any amendment to or replacement of the NRS; and</w:t>
      </w:r>
    </w:p>
    <w:p>
      <w:pPr>
        <w:pStyle w:val="TextBody"/>
        <w:bidi w:val="0"/>
        <w:spacing w:lineRule="auto" w:line="240" w:before="240" w:after="283"/>
        <w:ind w:left="0" w:right="0" w:firstLine="2520"/>
        <w:jc w:val="both"/>
        <w:rPr/>
      </w:pPr>
      <w:r>
        <w:rPr>
          <w:rFonts w:ascii="Times New Roman;serif" w:hAnsi="Times New Roman;serif"/>
          <w:b w:val="false"/>
          <w:color w:val="000000"/>
          <w:sz w:val="22"/>
        </w:rPr>
        <w:t>(ii)</w:t>
      </w:r>
      <w:r>
        <w:rPr>
          <w:rFonts w:ascii="Times New Roman;serif" w:hAnsi="Times New Roman;serif"/>
          <w:b w:val="false"/>
          <w:color w:val="000000"/>
          <w:sz w:val="22"/>
        </w:rPr>
        <w:t>the fullest extent authorized or permitted by any amendments to or replacements of the NRS adopted after the date of this Agreement that increase the extent to which a corporation may indemnify its officers and directors.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2"/>
        </w:rPr>
        <w:t>Exclusions.</w:t>
      </w:r>
      <w:r>
        <w:rPr>
          <w:color w:val="000000"/>
        </w:rPr>
        <w:t xml:space="preserve"> </w:t>
      </w:r>
      <w:r>
        <w:rPr>
          <w:rFonts w:ascii="Times New Roman;serif" w:hAnsi="Times New Roman;serif"/>
          <w:b w:val="false"/>
          <w:color w:val="000000"/>
          <w:sz w:val="22"/>
        </w:rPr>
        <w:t>Notwithstanding any provision in this Agreement, the Company shall not be obligated under this Agreement to make any indemnity in connection with any Proceeding (or any part of any Proceeding):</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for which payment has actually been made to or on behalf of Indemnitee under any statute, insurance policy, indemnity provision, vote or otherwise, except with respect to any excess beyond the amount paid;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Section 304 of the Sarbanes-Oxley Act of 2002 (the “</w:t>
      </w:r>
      <w:r>
        <w:rPr>
          <w:rFonts w:ascii="Times New Roman;serif" w:hAnsi="Times New Roman;serif"/>
          <w:b/>
          <w:i/>
          <w:color w:val="000000"/>
          <w:sz w:val="22"/>
        </w:rPr>
        <w:t>Sarbanes-Oxley Act</w:t>
      </w:r>
      <w:r>
        <w:rPr>
          <w:color w:val="000000"/>
        </w:rPr>
        <w:t>”</w:t>
      </w:r>
      <w:r>
        <w:rPr>
          <w:rFonts w:ascii="Times New Roman;serif" w:hAnsi="Times New Roman;serif"/>
          <w:b w:val="false"/>
          <w:color w:val="000000"/>
          <w:sz w:val="22"/>
        </w:rPr>
        <w:t>), or the payment to the Company of profits arising from the purchase and sale by Indemnitee of securities in violation of Section 306 of the Sarbanes-Oxley Act), if Indemnitee is held liable therefor (including pursuant to any settlement arrangements);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 or (iv) otherwise required by applicable law; [or]</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if prohibited by applicable law (including, without limitation, NRS 78.751(3)(a))[; or</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extent such Proceeding relates to Indemnitee in his or her capacity as a stockholder of the Company or by reason of Indemnitee’s assertion of rights as a stockholder of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2"/>
        </w:rPr>
        <w:t>Advances of Expenses.</w:t>
      </w:r>
      <w:r>
        <w:rPr>
          <w:color w:val="000000"/>
        </w:rPr>
        <w:t xml:space="preserve"> </w:t>
      </w:r>
      <w:r>
        <w:rPr>
          <w:rFonts w:ascii="Times New Roman;serif" w:hAnsi="Times New Roman;serif"/>
          <w:b w:val="false"/>
          <w:color w:val="000000"/>
          <w:sz w:val="22"/>
        </w:rPr>
        <w:t>The Company shall advance the Expenses incurred by Indemnitee in connection with any Proceeding prior to its final disposition, and such advancement shall be made as soon as reasonably practicable, but in any event no later than 90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and no other form of undertaking shall be required other than the execution of this Agreement.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9.</w:t>
      </w:r>
      <w:r>
        <w:rPr>
          <w:rFonts w:ascii="Times New Roman;serif" w:hAnsi="Times New Roman;serif"/>
          <w:b/>
          <w:color w:val="000000"/>
          <w:sz w:val="22"/>
        </w:rPr>
        <w:t>Procedures for Notification and Defense of Claim.</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Indemnitee shall give the Company such information and cooperation in connection with the Proceeding as may be reasonably appropriate.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Company shall not be liable to indemnify Indemnitee for any settlement of any Proceeding (or any part thereof) without the Company’s prior written consent, which shall not be unreasonably withheld, conditioned or delayed.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Company shall not settle any Proceeding (or any part thereof) in a manner that imposes any penalty or liability on Indemnitee without Indemnitee’s prior written consent, which shall not be unreasonably withheld, conditioned or delayed.</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10.</w:t>
      </w:r>
      <w:r>
        <w:rPr>
          <w:rFonts w:ascii="Times New Roman;serif" w:hAnsi="Times New Roman;serif"/>
          <w:b/>
          <w:color w:val="000000"/>
          <w:sz w:val="22"/>
        </w:rPr>
        <w:t xml:space="preserve">Procedures upon Application for Indemnification.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thirty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 xml:space="preserve">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the court having jurisdiction over the Proceeding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Company agrees to pay the reasonable fees and expenses of any Independent Counsel.</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rPr>
        <w:t>Presumptions and Effect of Certain Proceedings.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termination of any Proceeding or of any claim, issue or matter therein, by judgment, order, settlement or conviction, or upon a plea of </w:t>
      </w:r>
      <w:r>
        <w:rPr>
          <w:rFonts w:ascii="Times New Roman;serif" w:hAnsi="Times New Roman;serif"/>
          <w:b w:val="false"/>
          <w:i/>
          <w:color w:val="000000"/>
          <w:sz w:val="22"/>
        </w:rPr>
        <w:t>nolo</w:t>
      </w:r>
      <w:r>
        <w:rPr>
          <w:color w:val="000000"/>
        </w:rPr>
        <w:t xml:space="preserve"> </w:t>
      </w:r>
      <w:r>
        <w:rPr>
          <w:rFonts w:ascii="Times New Roman;serif" w:hAnsi="Times New Roman;serif"/>
          <w:b w:val="false"/>
          <w:i/>
          <w:color w:val="000000"/>
          <w:sz w:val="22"/>
        </w:rPr>
        <w:t>contendere</w:t>
      </w:r>
      <w:r>
        <w:rPr>
          <w:color w:val="000000"/>
        </w:rPr>
        <w:t xml:space="preserve"> </w:t>
      </w:r>
      <w:r>
        <w:rPr>
          <w:rFonts w:ascii="Times New Roman;serif" w:hAnsi="Times New Roman;serif"/>
          <w:b w:val="false"/>
          <w:color w:val="000000"/>
          <w:sz w:val="22"/>
        </w:rPr>
        <w:t>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any applicable standard of conduct.</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Neither the knowledge, actions nor failure to act of any other director, officer, agent or employee of the Enterprise shall be imputed to Indemnitee for purposes of determining the right to indemnification under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color w:val="000000"/>
          <w:sz w:val="22"/>
        </w:rPr>
        <w:t>Remedies of Indemnitee.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thirty days after a determination has been made that Indemnitee is entitled to indemnification or (B) with respect to indemnification pursuant to Sections 4, 5 and 12(d) of this Agreement, within thirty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the Eighth Judicial District Court of the State of Nevada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The Company shall not oppose Indemnitee’s right to seek any such adjudication or award in arbitration in accordance with this Agreement.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under this Agreement,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 commenced pursuant to this Section 12 shall be conducted in all respects as a </w:t>
      </w:r>
      <w:r>
        <w:rPr>
          <w:rFonts w:ascii="Times New Roman;serif" w:hAnsi="Times New Roman;serif"/>
          <w:b w:val="false"/>
          <w:i/>
          <w:color w:val="000000"/>
          <w:sz w:val="22"/>
        </w:rPr>
        <w:t>de novo</w:t>
      </w:r>
      <w:r>
        <w:rPr>
          <w:color w:val="000000"/>
        </w:rPr>
        <w:t xml:space="preserve"> </w:t>
      </w:r>
      <w:r>
        <w:rPr>
          <w:rFonts w:ascii="Times New Roman;serif" w:hAnsi="Times New Roman;serif"/>
          <w:b w:val="false"/>
          <w:color w:val="000000"/>
          <w:sz w:val="22"/>
        </w:rPr>
        <w:t>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 by clear and convincing evidence.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90 days, after receipt by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Company of a written request therefor) advance such Expenses to Indemnitee, subject to the provisions of Section 8.</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Notwithstanding anything in this Agreement to the contrary, no determination as to entitlement to indemnification shall be required to be made prior to the final disposition of the Proceeding.</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13.</w:t>
      </w:r>
      <w:r>
        <w:rPr>
          <w:rFonts w:ascii="Times New Roman;serif" w:hAnsi="Times New Roman;serif"/>
          <w:b/>
          <w:color w:val="000000"/>
          <w:sz w:val="22"/>
        </w:rPr>
        <w:t>Contribution.</w:t>
      </w:r>
      <w:r>
        <w:rPr>
          <w:color w:val="000000"/>
        </w:rPr>
        <w:t xml:space="preserve"> </w:t>
      </w:r>
      <w:r>
        <w:rPr>
          <w:rFonts w:ascii="Times New Roman;serif" w:hAnsi="Times New Roman;serif"/>
          <w:b w:val="false"/>
          <w:color w:val="000000"/>
          <w:sz w:val="22"/>
        </w:rPr>
        <w:t>To the fullest extent permissible under applicable law, if the indemnification provided for in this 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14.</w:t>
      </w:r>
      <w:r>
        <w:rPr>
          <w:rFonts w:ascii="Times New Roman;serif" w:hAnsi="Times New Roman;serif"/>
          <w:b/>
          <w:color w:val="000000"/>
          <w:sz w:val="22"/>
        </w:rPr>
        <w:t>Non-exclusivity.</w:t>
      </w:r>
      <w:r>
        <w:rPr>
          <w:color w:val="000000"/>
        </w:rPr>
        <w:t xml:space="preserve"> </w:t>
      </w:r>
      <w:r>
        <w:rPr>
          <w:rFonts w:ascii="Times New Roman;serif" w:hAnsi="Times New Roman;serif"/>
          <w:b w:val="false"/>
          <w:color w:val="000000"/>
          <w:sz w:val="22"/>
        </w:rPr>
        <w:t>The rights of indemnification and to receive advancement of Expenses as provided by this Agreement shall not be deemed exclusive of any other rights to which Indemnitee may at any time be entitled under applicable law, the Company’s articles of incorporation or bylaws, any agreement, a vote of stockholders or a resolution of directors, or otherwise. To the extent that a change in Nevada law, whether by statute or judicial decision, permits greater indemnification or advancement of Expenses than would be afforded currently under the Company’s articles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15.</w:t>
      </w:r>
      <w:r>
        <w:rPr>
          <w:rFonts w:ascii="Times New Roman;serif" w:hAnsi="Times New Roman;serif"/>
          <w:b/>
          <w:color w:val="000000"/>
          <w:sz w:val="22"/>
        </w:rPr>
        <w:t xml:space="preserve">Reserved.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16.</w:t>
      </w:r>
      <w:r>
        <w:rPr>
          <w:rFonts w:ascii="Times New Roman;serif" w:hAnsi="Times New Roman;serif"/>
          <w:b/>
          <w:color w:val="000000"/>
          <w:sz w:val="22"/>
        </w:rPr>
        <w:t>No Duplication of Payments.</w:t>
      </w:r>
      <w:r>
        <w:rPr>
          <w:color w:val="000000"/>
        </w:rPr>
        <w:t xml:space="preserve"> </w:t>
      </w:r>
      <w:r>
        <w:rPr>
          <w:rFonts w:ascii="Times New Roman;serif" w:hAnsi="Times New Roman;serif"/>
          <w:b w:val="false"/>
          <w:color w:val="000000"/>
          <w:sz w:val="22"/>
        </w:rPr>
        <w:t>The Company shall not be liable under this Agreement to make any payment of amounts otherwise indemnifiable hereunder (or for which advancement is provided hereunder) if and to the extent that Indemnitee has otherwise actually received payment for such amounts under any insurance policy, contract, agreement or otherwise.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17.</w:t>
      </w:r>
      <w:r>
        <w:rPr>
          <w:rFonts w:ascii="Times New Roman;serif" w:hAnsi="Times New Roman;serif"/>
          <w:b/>
          <w:color w:val="000000"/>
          <w:sz w:val="22"/>
        </w:rPr>
        <w:t>Insurance.</w:t>
      </w:r>
      <w:r>
        <w:rPr>
          <w:color w:val="000000"/>
        </w:rPr>
        <w:t xml:space="preserve"> </w:t>
      </w:r>
      <w:r>
        <w:rPr>
          <w:rFonts w:ascii="Times New Roman;serif" w:hAnsi="Times New Roman;serif"/>
          <w:b w:val="false"/>
          <w:color w:val="000000"/>
          <w:sz w:val="22"/>
        </w:rPr>
        <w:t>To the extent that the Company maintains an insurance policy or policies providing liability insurance for 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18.</w:t>
      </w:r>
      <w:r>
        <w:rPr>
          <w:rFonts w:ascii="Times New Roman;serif" w:hAnsi="Times New Roman;serif"/>
          <w:b/>
          <w:color w:val="000000"/>
          <w:sz w:val="22"/>
        </w:rPr>
        <w:t>Subrogation.</w:t>
      </w:r>
      <w:r>
        <w:rPr>
          <w:color w:val="000000"/>
        </w:rPr>
        <w:t xml:space="preserve"> </w:t>
      </w:r>
      <w:r>
        <w:rPr>
          <w:rFonts w:ascii="Times New Roman;serif" w:hAnsi="Times New Roman;serif"/>
          <w:b w:val="false"/>
          <w:color w:val="000000"/>
          <w:sz w:val="22"/>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19.</w:t>
      </w:r>
      <w:r>
        <w:rPr>
          <w:rFonts w:ascii="Times New Roman;serif" w:hAnsi="Times New Roman;serif"/>
          <w:b/>
          <w:color w:val="000000"/>
          <w:sz w:val="22"/>
        </w:rPr>
        <w:t>Services to the Company.</w:t>
      </w:r>
      <w:r>
        <w:rPr>
          <w:color w:val="000000"/>
        </w:rPr>
        <w:t xml:space="preserve"> </w:t>
      </w:r>
      <w:r>
        <w:rPr>
          <w:rFonts w:ascii="Times New Roman;serif" w:hAnsi="Times New Roman;serif"/>
          <w:b w:val="false"/>
          <w:color w:val="000000"/>
          <w:sz w:val="22"/>
        </w:rPr>
        <w:t xml:space="preserve">Indemnitee agrees to serve as a director or officer of the Company or, at the request of the Company, as a director, trustee, general partner, managing member or manager,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articles of incorporation or bylaws or the NRS. No such document shall be subject to any oral modification thereof.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20.</w:t>
      </w:r>
      <w:r>
        <w:rPr>
          <w:rFonts w:ascii="Times New Roman;serif" w:hAnsi="Times New Roman;serif"/>
          <w:b/>
          <w:color w:val="000000"/>
          <w:sz w:val="22"/>
        </w:rPr>
        <w:t>Duration.</w:t>
      </w:r>
      <w:r>
        <w:rPr>
          <w:color w:val="000000"/>
        </w:rPr>
        <w:t xml:space="preserve"> </w:t>
      </w:r>
      <w:r>
        <w:rPr>
          <w:rFonts w:ascii="Times New Roman;serif" w:hAnsi="Times New Roman;serif"/>
          <w:b w:val="false"/>
          <w:color w:val="000000"/>
          <w:sz w:val="22"/>
        </w:rPr>
        <w:t xml:space="preserve">This Agreement shall continue in effect until the later of (a) ten years after the date that Indemnitee shall have ceased to serve as a director or an officer of the Company or as a director, trustee, general partner, managing member or manager, officer, employee, agent or fiduciary of any other Enterprise, as applicable, (b) for as long as Indemnitee may be subject to any Proceeding, even after Indemnitee has ceased to serve as a director or officer of the Company or as a director, trustee, general partner, managing member or manager, officer, employee, agent or fiduciary of any other Enterprise, as applicable.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21.</w:t>
      </w:r>
      <w:r>
        <w:rPr>
          <w:rFonts w:ascii="Times New Roman;serif" w:hAnsi="Times New Roman;serif"/>
          <w:b/>
          <w:color w:val="000000"/>
          <w:sz w:val="22"/>
        </w:rPr>
        <w:t>Successors.</w:t>
      </w:r>
      <w:r>
        <w:rPr>
          <w:color w:val="000000"/>
        </w:rPr>
        <w:t xml:space="preserve"> </w:t>
      </w:r>
      <w:r>
        <w:rPr>
          <w:rFonts w:ascii="Times New Roman;serif" w:hAnsi="Times New Roman;serif"/>
          <w:b w:val="false"/>
          <w:color w:val="000000"/>
          <w:sz w:val="22"/>
        </w:rPr>
        <w:t>This Agreement shall be binding upon the Company and its successors and assigns, including any direct or indirect successor, by 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22.</w:t>
      </w: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Nothing in this Agreement is intended to require or shall be construed as requiring the Company to do or 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23.</w:t>
      </w:r>
      <w:r>
        <w:rPr>
          <w:rFonts w:ascii="Times New Roman;serif" w:hAnsi="Times New Roman;serif"/>
          <w:b/>
          <w:color w:val="000000"/>
          <w:sz w:val="22"/>
        </w:rPr>
        <w:t>Enforcement.</w:t>
      </w:r>
      <w:r>
        <w:rPr>
          <w:color w:val="000000"/>
        </w:rPr>
        <w:t xml:space="preserve"> </w:t>
      </w:r>
      <w:r>
        <w:rPr>
          <w:rFonts w:ascii="Times New Roman;serif" w:hAnsi="Times New Roman;serif"/>
          <w:b w:val="false"/>
          <w:color w:val="000000"/>
          <w:sz w:val="22"/>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24.</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this Agreement is not in limitation or to the exclusion of the Company’s articles of incorporation and bylaws and applicable law.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25.</w:t>
      </w:r>
      <w:r>
        <w:rPr>
          <w:rFonts w:ascii="Times New Roman;serif" w:hAnsi="Times New Roman;serif"/>
          <w:b/>
          <w:color w:val="000000"/>
          <w:sz w:val="22"/>
        </w:rPr>
        <w:t>Modification and Waiver.</w:t>
      </w:r>
      <w:r>
        <w:rPr>
          <w:color w:val="000000"/>
        </w:rPr>
        <w:t xml:space="preserve"> </w:t>
      </w:r>
      <w:r>
        <w:rPr>
          <w:rFonts w:ascii="Times New Roman;serif" w:hAnsi="Times New Roman;serif"/>
          <w:b w:val="false"/>
          <w:color w:val="000000"/>
          <w:sz w:val="22"/>
        </w:rPr>
        <w:t xml:space="preserve">No supplement, modification or amendment to this Agreement shall be binding unless 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waiver of any of the provisions of this Agreement shall constitute or be deemed a waiver of any other provision of this Agreement nor shall any waiver constitute a continuing waiver.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26.</w:t>
      </w:r>
      <w:r>
        <w:rPr>
          <w:rFonts w:ascii="Times New Roman;serif" w:hAnsi="Times New Roman;serif"/>
          <w:b/>
          <w:color w:val="000000"/>
          <w:sz w:val="22"/>
        </w:rPr>
        <w:t>Notices.</w:t>
      </w:r>
      <w:r>
        <w:rPr>
          <w:color w:val="000000"/>
        </w:rPr>
        <w:t xml:space="preserve"> </w:t>
      </w:r>
      <w:r>
        <w:rPr>
          <w:rFonts w:ascii="Times New Roman;serif" w:hAnsi="Times New Roman;serif"/>
          <w:b w:val="false"/>
          <w:color w:val="000000"/>
          <w:sz w:val="22"/>
        </w:rPr>
        <w:t>All notices and other communications required or permitted hereunder shall be in writing and shall be mailed by registered or certified mail, postage prepaid, sent by electronic mail or otherwise delivered by hand, messenger or courier service addressed: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if to Indemnitee, to Indemnitee’s address, or electronic mail address as shown on the signature page of this Agreement or in the Company’s records, as may be updated in accordance with the provisions hereof; or</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if to the Company, to the attention of the Chief Executive Officer or Chief Financial Officer of the Company at 1800 Owens Street, Suite 200, San Francisco, CA 94158, or at such other current address as the Company shall have furnished to Indemnitee, with a copy (which shall not constitute notice) to Lisa Stimmel, Wilson Sonsini Goodrich &amp; Rosati, P.C., 650 Page Mill Road, Palo Alto, California 94304.</w:t>
      </w:r>
    </w:p>
    <w:p>
      <w:pPr>
        <w:pStyle w:val="TextBody"/>
        <w:bidi w:val="0"/>
        <w:spacing w:lineRule="auto" w:line="288" w:before="240" w:after="283"/>
        <w:jc w:val="both"/>
        <w:rPr/>
      </w:pPr>
      <w:r>
        <w:rPr>
          <w:rFonts w:ascii="Times New Roman;serif" w:hAnsi="Times New Roman;serif"/>
          <w:b w:val="false"/>
          <w:color w:val="000000"/>
          <w:sz w:val="22"/>
        </w:rPr>
        <w:t xml:space="preserve">Each such notice or other communication shall for all purposes of this Agreement be treated as effective or having been given (i) if delivered by hand, messenger or courier service, when delivered (or if sent </w:t>
      </w:r>
      <w:r>
        <w:rPr>
          <w:rFonts w:ascii="Times New Roman;serif" w:hAnsi="Times New Roman;serif"/>
          <w:b w:val="false"/>
          <w:i/>
          <w:color w:val="000000"/>
          <w:sz w:val="22"/>
        </w:rPr>
        <w:t>via</w:t>
      </w:r>
      <w:r>
        <w:rPr>
          <w:color w:val="000000"/>
        </w:rPr>
        <w:t xml:space="preserve"> </w:t>
      </w:r>
      <w:r>
        <w:rPr>
          <w:rFonts w:ascii="Times New Roman;serif" w:hAnsi="Times New Roman;serif"/>
          <w:b w:val="false"/>
          <w:color w:val="000000"/>
          <w:sz w:val="22"/>
        </w:rPr>
        <w:t xml:space="preserve">a nationally-recognized overnight courier service, freight prepaid, specifying next-business-day delivery, one business day after deposit with the courier), or (ii) if sent </w:t>
      </w:r>
      <w:r>
        <w:rPr>
          <w:rFonts w:ascii="Times New Roman;serif" w:hAnsi="Times New Roman;serif"/>
          <w:b w:val="false"/>
          <w:i/>
          <w:color w:val="000000"/>
          <w:sz w:val="22"/>
        </w:rPr>
        <w:t>via</w:t>
      </w:r>
      <w:r>
        <w:rPr>
          <w:color w:val="000000"/>
        </w:rPr>
        <w:t xml:space="preserve"> </w:t>
      </w:r>
      <w:r>
        <w:rPr>
          <w:rFonts w:ascii="Times New Roman;serif" w:hAnsi="Times New Roman;serif"/>
          <w:b w:val="false"/>
          <w:color w:val="000000"/>
          <w:sz w:val="22"/>
        </w:rPr>
        <w:t xml:space="preserve">mail, at the earlier of its receipt or five days after the same has been deposited in a regularly-maintained receptacle for the deposit of the United States mail, addressed and mailed as aforesaid, or (iii) if sent </w:t>
      </w:r>
      <w:r>
        <w:rPr>
          <w:rFonts w:ascii="Times New Roman;serif" w:hAnsi="Times New Roman;serif"/>
          <w:b w:val="false"/>
          <w:i/>
          <w:color w:val="000000"/>
          <w:sz w:val="22"/>
        </w:rPr>
        <w:t>via</w:t>
      </w:r>
      <w:r>
        <w:rPr>
          <w:color w:val="000000"/>
        </w:rPr>
        <w:t xml:space="preserve"> </w:t>
      </w:r>
      <w:r>
        <w:rPr>
          <w:rFonts w:ascii="Times New Roman;serif" w:hAnsi="Times New Roman;serif"/>
          <w:b w:val="false"/>
          <w:color w:val="000000"/>
          <w:sz w:val="22"/>
        </w:rPr>
        <w:t>electronic mail, upon confirmation of delivery when directed to the relevant electronic mail address, if sent during normal business hours of the recipient, or if not sent during normal business hours of the recipient, then on the recipient’s next business day.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27.</w:t>
      </w:r>
      <w:r>
        <w:rPr>
          <w:rFonts w:ascii="Times New Roman;serif" w:hAnsi="Times New Roman;serif"/>
          <w:b/>
          <w:color w:val="000000"/>
          <w:sz w:val="22"/>
        </w:rPr>
        <w:t>Applicable Law and Consent to Jurisdiction.</w:t>
      </w:r>
      <w:r>
        <w:rPr>
          <w:color w:val="000000"/>
        </w:rPr>
        <w:t xml:space="preserve"> </w:t>
      </w:r>
      <w:r>
        <w:rPr>
          <w:rFonts w:ascii="Times New Roman;serif" w:hAnsi="Times New Roman;serif"/>
          <w:b w:val="false"/>
          <w:color w:val="000000"/>
          <w:sz w:val="22"/>
        </w:rPr>
        <w:t>This Agreement and the legal relations among the parties shall be governed by, and construed and enforced in accordance with, the laws of the State of Nevada,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Eighth Judicial District Court of the State of Nevada, and not in any other state or federal court in the United States of America or any court in any other country, (ii) consent to submit to the exclusive jurisdiction of the Eighth Judicial District Court of the State of Nevada for purposes of any action or proceeding arising out of or in connection with this Agreement, (iii) appoint, to the extent such party is not otherwise subject to service of process in the State of Nevada, the Company’s registered agent in the State of Nevada as such party’s agent in the State of Nevada for acceptance of legal process in connection with any such action or proceeding against such party with the same legal force and validity as if served upon such party personally within the State of Nevada, (iv) waive any objection to the laying of venue of any such action or proceeding in the Eighth Judicial District Court of the State of Nevada, and (v) waive, and agree not to plead or to make, any claim that any such action or proceeding brought in the Eighth Judicial District Court of the State of Nevada has been brought in an improper or inconvenient forum.</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28.</w:t>
      </w:r>
      <w:r>
        <w:rPr>
          <w:rFonts w:ascii="Times New Roman;serif" w:hAnsi="Times New Roman;serif"/>
          <w:b/>
          <w:color w:val="000000"/>
          <w:sz w:val="22"/>
        </w:rPr>
        <w:t>Counterparts.</w:t>
      </w:r>
      <w:r>
        <w:rPr>
          <w:color w:val="000000"/>
        </w:rPr>
        <w:t xml:space="preserve"> </w:t>
      </w:r>
      <w:r>
        <w:rPr>
          <w:rFonts w:ascii="Times New Roman;serif" w:hAnsi="Times New Roman;serif"/>
          <w:b w:val="false"/>
          <w:color w:val="000000"/>
          <w:sz w:val="22"/>
        </w:rPr>
        <w:t>This Agreement may be executed in one or more counterparts, each of which shall for all purposes be deemed to be an original but all of which together shall constitute one and the same Agreement. This Agreement may also be executed with electronic signatures and delivered by facsimile or other electronic transmission, each of which shall for all purposes be deemed to be an original. Only one counterpart signed by the party against whom enforceability is sought needs to be produced to evidence the existence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29.</w:t>
      </w:r>
      <w:r>
        <w:rPr>
          <w:rFonts w:ascii="Times New Roman;serif" w:hAnsi="Times New Roman;serif"/>
          <w:b/>
          <w:color w:val="000000"/>
          <w:sz w:val="22"/>
        </w:rPr>
        <w:t>Captions.</w:t>
      </w:r>
      <w:r>
        <w:rPr>
          <w:color w:val="000000"/>
        </w:rPr>
        <w:t xml:space="preserve"> </w:t>
      </w:r>
      <w:r>
        <w:rPr>
          <w:rFonts w:ascii="Times New Roman;serif" w:hAnsi="Times New Roman;serif"/>
          <w:b w:val="false"/>
          <w:color w:val="000000"/>
          <w:sz w:val="22"/>
        </w:rPr>
        <w:t>The headings of the paragraphs of this Agreement are inserted for convenience only and shall not be deemed to constitute part of this Agreement or to affect the construction thereof.</w:t>
      </w:r>
    </w:p>
    <w:p>
      <w:pPr>
        <w:pStyle w:val="TextBody"/>
        <w:bidi w:val="0"/>
        <w:spacing w:lineRule="auto" w:line="288" w:before="24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are signing this Indemnification Agreement as of the date stated in the introductory sentence.</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before="240" w:after="283"/>
        <w:jc w:val="both"/>
        <w:rPr/>
      </w:pPr>
      <w:r>
        <w:rPr/>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before="0" w:after="0"/>
        <w:ind w:left="0" w:right="0" w:firstLine="1350"/>
        <w:jc w:val="center"/>
        <w:rPr/>
      </w:pPr>
      <w:r>
        <w:rPr>
          <w:rFonts w:ascii="Times New Roman;serif" w:hAnsi="Times New Roman;serif"/>
          <w:b w:val="false"/>
          <w:color w:val="000000"/>
          <w:sz w:val="18"/>
        </w:rPr>
        <w:t>(</w:t>
      </w:r>
      <w:r>
        <w:rPr>
          <w:rFonts w:ascii="Times New Roman;serif" w:hAnsi="Times New Roman;serif"/>
          <w:b w:val="false"/>
          <w:i/>
          <w:color w:val="000000"/>
          <w:sz w:val="18"/>
        </w:rPr>
        <w:t>Signature</w:t>
      </w:r>
      <w:r>
        <w:rPr>
          <w:rFonts w:ascii="Times New Roman;serif" w:hAnsi="Times New Roman;serif"/>
          <w:b w:val="false"/>
          <w:color w:val="000000"/>
          <w:sz w:val="18"/>
        </w:rPr>
        <w:t>)(</w:t>
      </w:r>
      <w:r>
        <w:rPr>
          <w:rFonts w:ascii="Times New Roman;serif" w:hAnsi="Times New Roman;serif"/>
          <w:b w:val="false"/>
          <w:i/>
          <w:color w:val="000000"/>
          <w:sz w:val="18"/>
        </w:rPr>
        <w:t>Signature</w:t>
      </w:r>
      <w:r>
        <w:rPr>
          <w:rFonts w:ascii="Times New Roman;serif" w:hAnsi="Times New Roman;serif"/>
          <w:b w:val="false"/>
          <w:color w:val="000000"/>
          <w:sz w:val="18"/>
        </w:rPr>
        <w:t>)</w:t>
      </w:r>
    </w:p>
    <w:p>
      <w:pPr>
        <w:pStyle w:val="TextBody"/>
        <w:bidi w:val="0"/>
        <w:spacing w:before="240" w:after="283"/>
        <w:jc w:val="both"/>
        <w:rPr/>
      </w:pPr>
      <w:r>
        <w:rPr/>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Print name</w:t>
      </w:r>
      <w:r>
        <w:rPr>
          <w:rFonts w:ascii="Times New Roman;serif" w:hAnsi="Times New Roman;serif"/>
          <w:b w:val="false"/>
          <w:color w:val="000000"/>
          <w:sz w:val="18"/>
        </w:rPr>
        <w:t>)</w:t>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Title</w:t>
      </w:r>
      <w:r>
        <w:rPr>
          <w:rFonts w:ascii="Times New Roman;serif" w:hAnsi="Times New Roman;serif"/>
          <w:b w:val="false"/>
          <w:color w:val="000000"/>
          <w:sz w:val="18"/>
        </w:rPr>
        <w:t>)</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[INDEMNITEE]</w:t>
      </w:r>
    </w:p>
    <w:p>
      <w:pPr>
        <w:pStyle w:val="TextBody"/>
        <w:bidi w:val="0"/>
        <w:spacing w:before="240" w:after="283"/>
        <w:jc w:val="both"/>
        <w:rPr/>
      </w:pPr>
      <w:r>
        <w:rPr/>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before="0" w:after="0"/>
        <w:ind w:left="0" w:right="0" w:firstLine="1350"/>
        <w:jc w:val="center"/>
        <w:rPr/>
      </w:pPr>
      <w:r>
        <w:rPr>
          <w:rFonts w:ascii="Times New Roman;serif" w:hAnsi="Times New Roman;serif"/>
          <w:b w:val="false"/>
          <w:color w:val="000000"/>
          <w:sz w:val="18"/>
        </w:rPr>
        <w:t>(</w:t>
      </w:r>
      <w:r>
        <w:rPr>
          <w:rFonts w:ascii="Times New Roman;serif" w:hAnsi="Times New Roman;serif"/>
          <w:b w:val="false"/>
          <w:i/>
          <w:color w:val="000000"/>
          <w:sz w:val="18"/>
        </w:rPr>
        <w:t>Signature</w:t>
      </w:r>
      <w:r>
        <w:rPr>
          <w:rFonts w:ascii="Times New Roman;serif" w:hAnsi="Times New Roman;serif"/>
          <w:b w:val="false"/>
          <w:color w:val="000000"/>
          <w:sz w:val="18"/>
        </w:rPr>
        <w:t>)</w:t>
      </w:r>
    </w:p>
    <w:p>
      <w:pPr>
        <w:pStyle w:val="TextBody"/>
        <w:bidi w:val="0"/>
        <w:spacing w:before="240" w:after="283"/>
        <w:jc w:val="both"/>
        <w:rPr/>
      </w:pPr>
      <w:r>
        <w:rPr/>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before="0" w:after="0"/>
        <w:ind w:left="0" w:right="0" w:firstLine="1350"/>
        <w:jc w:val="center"/>
        <w:rPr/>
      </w:pPr>
      <w:r>
        <w:rPr>
          <w:rFonts w:ascii="Times New Roman;serif" w:hAnsi="Times New Roman;serif"/>
          <w:b w:val="false"/>
          <w:color w:val="000000"/>
          <w:sz w:val="18"/>
        </w:rPr>
        <w:t>(</w:t>
      </w:r>
      <w:r>
        <w:rPr>
          <w:rFonts w:ascii="Times New Roman;serif" w:hAnsi="Times New Roman;serif"/>
          <w:b w:val="false"/>
          <w:i/>
          <w:color w:val="000000"/>
          <w:sz w:val="18"/>
        </w:rPr>
        <w:t>Print name</w:t>
      </w:r>
      <w:r>
        <w:rPr>
          <w:rFonts w:ascii="Times New Roman;serif" w:hAnsi="Times New Roman;serif"/>
          <w:b w:val="false"/>
          <w:color w:val="000000"/>
          <w:sz w:val="18"/>
        </w:rPr>
        <w:t>)</w:t>
      </w:r>
    </w:p>
    <w:p>
      <w:pPr>
        <w:pStyle w:val="TextBody"/>
        <w:bidi w:val="0"/>
        <w:spacing w:lineRule="auto" w:line="288" w:before="240" w:after="283"/>
        <w:jc w:val="both"/>
        <w:rPr>
          <w:color w:val="000000"/>
        </w:rPr>
      </w:pPr>
      <w:r>
        <w:rPr>
          <w:color w:val="000000"/>
        </w:rPr>
        <w:t>        </w:t>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8"/>
        </w:rPr>
        <w:t>(</w:t>
      </w:r>
      <w:r>
        <w:rPr>
          <w:rFonts w:ascii="Times New Roman;serif" w:hAnsi="Times New Roman;serif"/>
          <w:b w:val="false"/>
          <w:i/>
          <w:color w:val="000000"/>
          <w:sz w:val="18"/>
        </w:rPr>
        <w:t>Street address</w:t>
      </w:r>
      <w:r>
        <w:rPr>
          <w:rFonts w:ascii="Times New Roman;serif" w:hAnsi="Times New Roman;serif"/>
          <w:b w:val="false"/>
          <w:color w:val="000000"/>
          <w:sz w:val="18"/>
        </w:rPr>
        <w:t>)</w:t>
      </w:r>
    </w:p>
    <w:p>
      <w:pPr>
        <w:pStyle w:val="TextBody"/>
        <w:bidi w:val="0"/>
        <w:spacing w:before="240" w:after="283"/>
        <w:jc w:val="both"/>
        <w:rPr/>
      </w:pPr>
      <w:r>
        <w:rPr/>
      </w:r>
    </w:p>
    <w:p>
      <w:pPr>
        <w:pStyle w:val="TextBody"/>
        <w:bidi w:val="0"/>
        <w:spacing w:lineRule="auto" w:line="288" w:before="240" w:after="283"/>
        <w:jc w:val="both"/>
        <w:rPr>
          <w:color w:val="000000"/>
          <w:u w:val="single"/>
        </w:rPr>
      </w:pPr>
      <w:r>
        <w:rPr>
          <w:color w:val="000000"/>
          <w:u w:val="single"/>
        </w:rPr>
        <w:t>    </w:t>
      </w:r>
    </w:p>
    <w:p>
      <w:pPr>
        <w:pStyle w:val="TextBody"/>
        <w:bidi w:val="0"/>
        <w:spacing w:lineRule="auto" w:line="288"/>
        <w:jc w:val="left"/>
        <w:rPr/>
      </w:pPr>
      <w:r>
        <w:rPr>
          <w:rFonts w:ascii="Times New Roman;serif" w:hAnsi="Times New Roman;serif"/>
          <w:b w:val="false"/>
          <w:color w:val="000000"/>
          <w:sz w:val="18"/>
        </w:rPr>
        <w:t>(</w:t>
      </w:r>
      <w:r>
        <w:rPr>
          <w:rFonts w:ascii="Times New Roman;serif" w:hAnsi="Times New Roman;serif"/>
          <w:b w:val="false"/>
          <w:i/>
          <w:color w:val="000000"/>
          <w:sz w:val="18"/>
        </w:rPr>
        <w:t>City, State and ZIP</w:t>
      </w:r>
      <w:r>
        <w:rPr>
          <w:rFonts w:ascii="Times New Roman;serif" w:hAnsi="Times New Roman;serif"/>
          <w:b w:val="false"/>
          <w:color w:val="000000"/>
          <w:sz w:val="18"/>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19.1</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What is the purpose of this Policy?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Dropbox has adopted this Insider Trading Policy to help you comply with the federal and state securities laws and regulations that govern trading in securities and to minimize its legal and reputational risk. It is your responsibility to understand and follow this policy.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Insider trading (as described under the “Policy Statement” section below) is illegal and violates this policy. In addition to your own personal liability for insider trading, Dropbox, plus its directors, officers, and other supervisors, could face liability. Furthermore, even the appearance of insider trading can cause serious and lasting damage to Dropbox’s and your own, personal reputation, and could also lead to government investigations or lawsuits that would be time-consuming and expensive. If insider trading is found to have occurred, you could face criminal and civil penalties which may include monetary fines and damages, imprisonment, and restrictions on future service as an officer or director of a public company. If you have any questions, please contact trading@ for advice.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To whom does this Policy apply?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Policy applies to all Dropbox employees, officers, directors, contractors, advisors and consultants. This Policy also covers family members and non-family members who live in your household or are economically dependent on you and any entity whose transactions in securities you influence, direct or control. This Policy continues to apply even after you leave Dropbox for so long as you still have material nonpublic information.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For purposes of this Policy, “we,” “us,” “our,” and “Dropbox” refers to Dropbox, Inc. and its subsidiaries.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Scope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Policy covers compliance with federal and state securities laws and regulations while trading in Dropbox securities or the securities of a company with whom Dropbox has a business relationship.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When we refer to “trading”, we mean any transaction involving Dropbox securities or the securities of a company with whom Dropbox has a business relationship. "Trades” covered under this Policy include purchases, sales, pledges, hedges, gifts, charitable contributions, loans, or any other direct or indirect transfers of securities. “Trades” also include any such transaction done on your behalf by money managers or financial advisors.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When we refer to “securities”, we mean common stock, options to purchase common stock, restricted stock units (RSUs) and any other securities such as debt securities (debentures, bonds, or notes), preferred stock, and warrants, as well as derivative securities such as put and call options, short sales, swaps, caps, and collars.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Policy Statement</w:t>
      </w:r>
    </w:p>
    <w:p>
      <w:pPr>
        <w:pStyle w:val="TextBody"/>
        <w:bidi w:val="0"/>
        <w:spacing w:lineRule="auto" w:line="268"/>
        <w:jc w:val="left"/>
        <w:rPr>
          <w:rFonts w:ascii="Times New Roman;serif" w:hAnsi="Times New Roman;serif"/>
          <w:b w:val="false"/>
          <w:i/>
          <w:color w:val="000000"/>
          <w:sz w:val="24"/>
        </w:rPr>
      </w:pPr>
      <w:r>
        <w:rPr>
          <w:rFonts w:ascii="Times New Roman;serif" w:hAnsi="Times New Roman;serif"/>
          <w:b w:val="false"/>
          <w:i/>
          <w:color w:val="000000"/>
          <w:sz w:val="24"/>
        </w:rPr>
        <w:t>No Trading while in Possession of Material Nonpublic Information</w:t>
      </w:r>
    </w:p>
    <w:p>
      <w:pPr>
        <w:pStyle w:val="TextBody"/>
        <w:bidi w:val="0"/>
        <w:spacing w:before="0" w:after="16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It is always illegal for anyone to trade in securities on the basis of material nonpublic information. If you are in possession of material nonpublic information about Dropbox, you are prohibited from: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transacting in Dropbox securities;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using that information to transact in the securities of other companies (so-called “shadow trading”);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disclosing that information to other Dropboxers whose jobs don’t require them to have the information;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disclosing that information to anyone outside of Dropbox, including family, friends, business associates, investors, or consulting firms, without prior written authorization from the Chief Legal Officer or in accordance with the Dropbox External Communications Policy; or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expressing an opinion or making a recommendation about trading in Dropbox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material nonpublic information about another company that you learn through your job at Dropbox is subject to the same restrictions around disclosure and trading. If you’re in possession of material nonpublic information about Dropbox’s suppliers, customers or competitors, you cannot (i) use that information to trade, directly or indirectly through others, or (ii) provide that information to another person in order to trade, in the securities of that other company. Any such action will be a violation of this Policy.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Non-Disclosure of Confidential Information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You must handle the confidential information of Dropbox or any third parties in accordance with our confidentiality policies and the terms of any non-disclosure agreements we sign. You must also limit your use of such confidential information to the purpose for which it was disclosed. You may never disclose material nonpublic information about Dropbox or another company to friends, family members, or any other person or entity that Dropbox has not authorized to know such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Even if you are not directly disclosing material nonpublic information, you may not make recommendations or express opinions about the securities of any company, including Dropbox, based on material nonpublic information. You also may not participate in any message boards, blogs, social media, or other online conversation platforms related to trading in Dropbox’s securities.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that you receive an inquiry for information from someone outside of Dropbox, such as a stock analyst, you should refer the inquiry to our Investor Relations team (reach out to IR@). Responding to a request yourself violates this Policy and, in some cases, the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Definition of material nonpublic information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It can be challenging to define “material” information because the concept carries a certain amount of judgment. Generally, information is material if a reasonable investor would likely consider it important in making a decision to buy, hold or sell securities. This applies to both positive and negative information.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Here are some examples of material information:</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financial results;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projections of future earnings or losses;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major customer wins or losses;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major product announcements or delays;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problems with major vendors;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pending acquisitions, mergers, or capital raising activities;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significant litigation or government investigations;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changes in senior management or other significant personnel decisions;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offerings of equity or debt securities;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stock splits/dividends;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stock repurchase programs;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data breaches or other significant cybersecurity incidents.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is “nonpublic” if it is not generally known or made available to the public. Even if information is widely known throughout Dropbox, it may still be nonpublic. Generally, for information to be considered public, it must be made generally available through media outlets or SEC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Additionally, even after the release of information, a reasonable period of time must elapse to provide the public an opportunity to absorb and evaluate the information. As a general rule, at least one full trading day should elapse after the information is released before it’s considered public.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a rule of thumb, if you think something might be material nonpublic information, you should act as though it is. You can always reach out to trading@ for advice.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Trading restrictions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Subject to the exceptions set forth below, this Policy also restricts trading as follows: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Quarterly Blackout Periods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All directors, officers, employees, contractors, and consultants of Dropbox, and their affiliated entities, as well as persons living in their household or persons who live elsewhere but whose transactions in Dropbox stock are directed or influenced by a Dropboxer, are subject to quarterly blackout periods during which they are prohibited from trading in Dropbox securities, regardless of whether they actually possess material nonpublic information. Any gifting or charitable contributions of Dropbox securities is also prohibited during blackout periods.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prohibition against trading during the blackout period also means that brokers cannot fulfill “limit orders” on your behalf or on behalf of anyone noted in the paragraph above, and any broker with whom it is placed must be informed of this at the time such “limit order” is placed. Dropbox strongly suggests closing out all limit orders prior to the beginning of the blackout period.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Quarterly blackout periods will start when the market closes on the 14th day of the third month of the fiscal quarter and will end when the market opens on the second full trading day following Dropbox’s earnings release.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i/>
          <w:color w:val="000000"/>
          <w:sz w:val="24"/>
        </w:rPr>
      </w:pPr>
      <w:r>
        <w:rPr>
          <w:rFonts w:ascii="Times New Roman;serif" w:hAnsi="Times New Roman;serif"/>
          <w:b w:val="false"/>
          <w:i/>
          <w:color w:val="000000"/>
          <w:sz w:val="24"/>
        </w:rPr>
        <w:t>Special Blackout Periods</w:t>
      </w:r>
    </w:p>
    <w:p>
      <w:pPr>
        <w:pStyle w:val="TextBody"/>
        <w:bidi w:val="0"/>
        <w:spacing w:before="0" w:after="16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Dropbox always retains the right to impose additional or longer trading blackout periods at any time. You will be notified if you are subject to a special blackout period. If you are notified that you are subject to a special blackout period, you may not engage in any transaction (or make any gift or charitable contribution) of Dropbox securities until the special blackout period has ended unless a particular transaction is covered among the exceptions listed below. You also may not disclose to anyone else that Dropbox has imposed a special blackout period.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Pre-Clearance of Trades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Dropbox directors, officers and other designated persons, as well as members of their immediate families and households, must obtain pre-clearance prior to trading Dropbox securities, even outside of blackout periods. You will be notified if you are subject to these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If you are a designated person looking to make a trade outside of Shareworks, you must submit a pre-clearance request to trading@ at least two trading days prior to your desired trade date, and include the following information: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your name (or the name of the person requesting clearance);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type of trade (purchase, sale, etc.);</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proposed trade date;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proposed number of shares to be traded.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Dropboxers seeking to sell shares through their Shareworks account must use the Shareworks platform to submit their request.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person requesting pre-clearance will be asked to certify that they are not in possession of material nonpublic information about Dropbox. The Head of Corporate Legal or, if the Head of Corporate Legal is the requester, then Dropbox’s Chief Legal Officer, has the sole discretion to clear or deny any trade. All trades must be executed within two trading days of any pre-clearance approval.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Keep in mind, pre-clearance is not legal advice. It is still the responsibility of each person trading in Dropbox securities to determine whether or not they have material nonpublic information. That is true both when a pre-clearance request is submitted and at the time any trade is executed.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Even after obtaining pre-clearance, a person may not trade Dropbox securities if they become subject to a blackout period or become aware of material nonpublic information prior to the trade being executed.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Exceptions to Trading Restrictions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only exceptions to the trading restrictions in this policy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Receipt and vesting of stock options, RSUs, restricted stock or other equity compensation awards from Dropbox;</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Exercises of stock options where the purchase of stock options is paid in cash and shares continue to be held by the option holder after the exercise is finalized;</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4"/>
        </w:rPr>
        <w:t>Purchases from an employee stock purchase plan, if adopted; however, this exception does not apply to subsequent sales of the shares;</w:t>
      </w:r>
    </w:p>
    <w:p>
      <w:pPr>
        <w:pStyle w:val="TextBody"/>
        <w:bidi w:val="0"/>
        <w:spacing w:before="0" w:after="16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Net share withholding of equity awards where shares are withheld by Dropbox in order to satisfy tax withholding requirements;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Sell to cover transactions, to the extent approved and implemented by Dropbox, where shares are withheld by Dropbox upon vesting of equity awards and sold in order to satisfy tax withholding requirements; however this exception does not apply to any other market sale for the purposes of paying required withholding;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Trades made pursuant to valid 10b5-1 trading plans approved by Dropbox (see below);</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Changes in form of ownership (for example, a transfer from your individual ownership to a trust for which you are the trustee);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Bona fide gifts or charitable contributions of Dropbox stock during non-blackout periods.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While these are exceptions to this policy’s prohibitions on trading in Dropbox securities, you and members of your household should still pre-clear any of these transactions with the trading@ team.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Limit orders; hedging and pledging transactions; margin accounts</w:t>
      </w:r>
    </w:p>
    <w:p>
      <w:pPr>
        <w:pStyle w:val="TextBody"/>
        <w:bidi w:val="0"/>
        <w:spacing w:lineRule="auto" w:line="268" w:before="0" w:after="0"/>
        <w:jc w:val="left"/>
        <w:rPr/>
      </w:pPr>
      <w:r>
        <w:rPr>
          <w:rFonts w:ascii="Times New Roman;serif" w:hAnsi="Times New Roman;serif"/>
          <w:b w:val="false"/>
          <w:i/>
          <w:color w:val="000000"/>
          <w:sz w:val="24"/>
        </w:rPr>
        <w:t>Open orders</w:t>
      </w:r>
      <w:r>
        <w:rPr>
          <w:color w:val="000000"/>
        </w:rPr>
        <w:t xml:space="preserve"> – </w:t>
      </w:r>
      <w:r>
        <w:rPr>
          <w:rFonts w:ascii="Times New Roman;serif" w:hAnsi="Times New Roman;serif"/>
          <w:b w:val="false"/>
          <w:color w:val="000000"/>
          <w:sz w:val="24"/>
        </w:rPr>
        <w:t>You should exercise caution when placing open orders, such as limit orders or stop orders, with brokers, particularly where the order is likely to remain outstanding for an extended period. Open orders may result in inadvertent violations of this policy when the execution of a trade occurs during a blackout period.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4"/>
        </w:rPr>
        <w:t>Short sales</w:t>
      </w:r>
      <w:r>
        <w:rPr>
          <w:color w:val="000000"/>
        </w:rPr>
        <w:t xml:space="preserve"> – </w:t>
      </w:r>
      <w:r>
        <w:rPr>
          <w:rFonts w:ascii="Times New Roman;serif" w:hAnsi="Times New Roman;serif"/>
          <w:b w:val="false"/>
          <w:color w:val="000000"/>
          <w:sz w:val="24"/>
        </w:rPr>
        <w:t>You may not engage in short sales (</w:t>
      </w:r>
      <w:r>
        <w:rPr>
          <w:rFonts w:ascii="Times New Roman;serif" w:hAnsi="Times New Roman;serif"/>
          <w:b w:val="false"/>
          <w:i/>
          <w:color w:val="000000"/>
          <w:sz w:val="24"/>
        </w:rPr>
        <w:t>i.e.,</w:t>
      </w:r>
      <w:r>
        <w:rPr>
          <w:color w:val="000000"/>
        </w:rPr>
        <w:t xml:space="preserve"> </w:t>
      </w:r>
      <w:r>
        <w:rPr>
          <w:rFonts w:ascii="Times New Roman;serif" w:hAnsi="Times New Roman;serif"/>
          <w:b w:val="false"/>
          <w:color w:val="000000"/>
          <w:sz w:val="24"/>
        </w:rPr>
        <w:t>the sale of a security that must be borrowed to make delivery) or “sell short against the box” (</w:t>
      </w:r>
      <w:r>
        <w:rPr>
          <w:rFonts w:ascii="Times New Roman;serif" w:hAnsi="Times New Roman;serif"/>
          <w:b w:val="false"/>
          <w:i/>
          <w:color w:val="000000"/>
          <w:sz w:val="24"/>
        </w:rPr>
        <w:t>i.e.,</w:t>
      </w:r>
      <w:r>
        <w:rPr>
          <w:color w:val="000000"/>
        </w:rPr>
        <w:t xml:space="preserve"> </w:t>
      </w:r>
      <w:r>
        <w:rPr>
          <w:rFonts w:ascii="Times New Roman;serif" w:hAnsi="Times New Roman;serif"/>
          <w:b w:val="false"/>
          <w:color w:val="000000"/>
          <w:sz w:val="24"/>
        </w:rPr>
        <w:t>sell with a delayed delivery) if such sales involve Dropbox securities. Short sales may signal to the market a general lack of confidence in Dropbox’s prospects, that potentially negative news about Dropbox is pending, or an expectation that the value of Dropbox’s securities will decline.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4"/>
        </w:rPr>
        <w:t>Derivative securities or hedging transactions</w:t>
      </w:r>
      <w:r>
        <w:rPr>
          <w:color w:val="000000"/>
        </w:rPr>
        <w:t xml:space="preserve"> – </w:t>
      </w:r>
      <w:r>
        <w:rPr>
          <w:rFonts w:ascii="Times New Roman;serif" w:hAnsi="Times New Roman;serif"/>
          <w:b w:val="false"/>
          <w:color w:val="000000"/>
          <w:sz w:val="24"/>
        </w:rPr>
        <w:t>You may not trade in publicly traded options, such as puts and calls, and other derivative securities with respect to Dropbox’s securities (other than stock options, RSUs and other compensatory equity awards issued to you by Dropbox). This includes any hedging or similar transaction designed to decrease the risks associated with holding Dropbox’s common stock.</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4"/>
        </w:rPr>
        <w:t xml:space="preserve">Hold Dropbox’s common stock in margin accounts </w:t>
      </w:r>
      <w:r>
        <w:rPr>
          <w:color w:val="000000"/>
        </w:rPr>
        <w:t xml:space="preserve">– </w:t>
      </w:r>
      <w:r>
        <w:rPr>
          <w:rFonts w:ascii="Times New Roman;serif" w:hAnsi="Times New Roman;serif"/>
          <w:b w:val="false"/>
          <w:color w:val="000000"/>
          <w:sz w:val="24"/>
        </w:rPr>
        <w:t>You may not hold Dropbox’s common stock in margin accounts, as this could result in your broker selling during a blackout period.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Using Dropbox securities as collateral for loans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If you are required to comply with the blackout periods or pre-clearance requirements under this policy, you may not pledge Dropbox securities as collateral for loans.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10b5-1 trading plans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Dropbox permits its directors, officers, and certain employees to adopt written 10b5-1 trading plans to mitigate the risk of trading on material nonpublic information. You will be notified if you are eligible to participate in a plan. These plans allow for individuals to enter into a prearranged trading plan as long as the plan is not established, modified, or terminated during a blackout period or when the individual is otherwise in possession of material nonpublic information. We have implemented certain guidelines that are required for any 10b5-1 trading plan to be approved by Dropbox, and therefore, qualify for the exception to this policy.</w:t>
      </w:r>
    </w:p>
    <w:p>
      <w:pPr>
        <w:pStyle w:val="TextBody"/>
        <w:bidi w:val="0"/>
        <w:spacing w:before="0" w:after="16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16 compliance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All Dropbox executive officers and directors are required to comply with Section 16 of the Securities and Exchange Act of 1934, and related rules and regulations. These rules set forth reporting obligations as well as limitations on “short swing” transactions, which are certain matching purchases and sales of Dropbox securities within a six-month period.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Dropbox is available to assist in filing Section 16 reports - but the obligation to comply with Section 16 is personal. If you have any questions, you should check with trading@.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One more thing…. </w:t>
      </w:r>
    </w:p>
    <w:p>
      <w:pPr>
        <w:pStyle w:val="TextBody"/>
        <w:bidi w:val="0"/>
        <w:spacing w:lineRule="auto" w:line="268" w:before="0" w:after="0"/>
        <w:jc w:val="left"/>
        <w:rPr/>
      </w:pPr>
      <w:r>
        <w:rPr>
          <w:rFonts w:ascii="Times New Roman;serif" w:hAnsi="Times New Roman;serif"/>
          <w:b w:val="false"/>
          <w:color w:val="000000"/>
          <w:sz w:val="24"/>
        </w:rPr>
        <w:t xml:space="preserve">The above prohibitions and procedures are meant to help Dropboxers and Dropbox comply with securities laws, but they are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a safe harbor. Regardless of any blackout period, pre-clearance. or 10b5-1 trading plan, it is still illegal to trade securities if you are aware of material nonpublic information. The personal consequences to you for insider trading are serious (see below), and so it is incumbent upon you to use good judgment. You may, from time to time, have to forego a trade even if you had planned to trade before learning material nonpublic information and even if you believe you may suffer an economic loss or forego profit by waiting to trade.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Violations of this Policy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Dropbox directors, officers, and employees who violate this policy will be subject to disciplinary action by Dropbox, including ineligibility for future Dropbox equity or incentive programs or termination of employment. Dropbox has full discretion in determining if this policy has been violated.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There can also be serious legal consequences for individuals who violate insider trading laws, including large criminal and civil fines, significant imprisonment terms and disgorgement of any profits gained or losses avoided. You may also be liable for improper securities trading by any person to whom you have disclosed material nonpublic information that you have learned through your position at Dropbox or made recommendations or expressed opinions about securities trading on the basis of such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Reporting violations or potential violations of this Policy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If you believe someone is violating this policy or otherwise using material nonpublic information that they learned through their position at Dropbox to trade securities, you should report it to trading@ or through Case IQ IntegrityCounts. Case IQ reports can be submitted anonymously.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Amendments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Policy was last updated in December 2025. Subject to applicable law, Dropbox retains the right to modify it at any time with or without notice, although we will always strive to provide Dropboxers with reasonable notice of any material change.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before="0" w:after="160"/>
        <w:jc w:val="right"/>
        <w:rPr/>
      </w:pPr>
      <w:r>
        <w:rPr/>
      </w:r>
    </w:p>
    <w:p>
      <w:pPr>
        <w:pStyle w:val="TextBody"/>
        <w:bidi w:val="0"/>
        <w:spacing w:lineRule="auto" w:line="312"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Subsidiaries of Registrant</w:t>
      </w:r>
    </w:p>
    <w:p>
      <w:pPr>
        <w:pStyle w:val="TextBody"/>
        <w:bidi w:val="0"/>
        <w:spacing w:before="0" w:after="160"/>
        <w:jc w:val="center"/>
        <w:rPr/>
      </w:pPr>
      <w:r>
        <w:rPr/>
      </w:r>
    </w:p>
    <w:tbl>
      <w:tblPr>
        <w:tblW w:w="7319" w:type="dxa"/>
        <w:jc w:val="center"/>
        <w:tblInd w:w="0" w:type="dxa"/>
        <w:tblLayout w:type="fixed"/>
        <w:tblCellMar>
          <w:top w:w="28" w:type="dxa"/>
          <w:left w:w="28" w:type="dxa"/>
          <w:bottom w:w="28" w:type="dxa"/>
          <w:right w:w="28" w:type="dxa"/>
        </w:tblCellMar>
      </w:tblPr>
      <w:tblGrid>
        <w:gridCol w:w="1700"/>
        <w:gridCol w:w="1492"/>
        <w:gridCol w:w="1502"/>
        <w:gridCol w:w="769"/>
        <w:gridCol w:w="769"/>
        <w:gridCol w:w="1087"/>
      </w:tblGrid>
      <w:tr>
        <w:trPr/>
        <w:tc>
          <w:tcPr>
            <w:tcW w:w="170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u w:val="single"/>
              </w:rPr>
            </w:pPr>
            <w:r>
              <w:rPr>
                <w:rFonts w:ascii="Times New Roman;serif" w:hAnsi="Times New Roman;serif"/>
                <w:b/>
                <w:color w:val="000000"/>
                <w:sz w:val="20"/>
                <w:u w:val="single"/>
              </w:rPr>
              <w:t>Name of Subsidiary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Canada Limited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Holding,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Hypertools,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Orcinus Holdings,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CloudOn,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DocSend,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Australia Pty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Denmark ApS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France S.A.S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France S.A.S, Paris, Zweigniederlassung Zurich</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Switzerland </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Germany GmbH</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Dropbox International Unlimited Company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Dropbox Israel Online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Japan KK</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Mexico S. de R.L. de C.V</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Netherlands B.V.</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Poland sp. z.o.o.</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Singapore Pte.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Sweden AB</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Taiwan Co.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Dropbox UK Online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Find Your Info,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King Street Labs,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Oregon </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Reclaim.ai,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Valt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333333"/>
          <w:sz w:val="21"/>
        </w:rPr>
      </w:pPr>
      <w:r>
        <w:rPr>
          <w:rFonts w:ascii="Times New Roman;serif" w:hAnsi="Times New Roman;serif"/>
          <w:b/>
          <w:color w:val="333333"/>
          <w:sz w:val="21"/>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33333"/>
          <w:sz w:val="20"/>
        </w:rPr>
      </w:pPr>
      <w:r>
        <w:rPr>
          <w:rFonts w:ascii="Times New Roman;serif" w:hAnsi="Times New Roman;serif"/>
          <w:b w:val="false"/>
          <w:color w:val="333333"/>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333333"/>
          <w:sz w:val="20"/>
        </w:rPr>
      </w:pPr>
      <w:r>
        <w:rPr>
          <w:rFonts w:ascii="Times New Roman;serif" w:hAnsi="Times New Roman;serif"/>
          <w:b w:val="false"/>
          <w:color w:val="333333"/>
          <w:sz w:val="20"/>
        </w:rPr>
        <w:t>(1) Registration Statements (Form S-8 Nos. 333-285127, 333-277145, 333-269924, 333-262866, 333-253304, 333-236570, 333-229842) pertaining to the 2018 Equity Incentive Plan of Dropbox, Inc.,</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333333"/>
          <w:sz w:val="20"/>
        </w:rPr>
      </w:pPr>
      <w:r>
        <w:rPr>
          <w:rFonts w:ascii="Times New Roman;serif" w:hAnsi="Times New Roman;serif"/>
          <w:b w:val="false"/>
          <w:color w:val="333333"/>
          <w:sz w:val="20"/>
        </w:rPr>
        <w:t>(2) Registration Statement (Form S-8 No. 333-255665) pertaining to the 2013 Stock Plan and the 2015 Stock Option and Grant Plan of DocSend, Inc.,</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333333"/>
          <w:sz w:val="20"/>
        </w:rPr>
      </w:pPr>
      <w:r>
        <w:rPr>
          <w:rFonts w:ascii="Times New Roman;serif" w:hAnsi="Times New Roman;serif"/>
          <w:b w:val="false"/>
          <w:color w:val="333333"/>
          <w:sz w:val="20"/>
        </w:rPr>
        <w:t xml:space="preserve">(3) Registration Statement (Form S-8 No. 333-229924) pertaining to the 2011 Equity Incentive Plan of JN Projects, Inc., and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333333"/>
          <w:sz w:val="20"/>
        </w:rPr>
      </w:pPr>
      <w:r>
        <w:rPr>
          <w:rFonts w:ascii="Times New Roman;serif" w:hAnsi="Times New Roman;serif"/>
          <w:b w:val="false"/>
          <w:color w:val="333333"/>
          <w:sz w:val="20"/>
        </w:rPr>
        <w:t>(4) Registration Statement (Form S-8 No. 333-223863) pertaining to the 2008 Equity Incentive Plan of Dropbox, Inc., the 2017 Equity Incentive Plan of Dropbox, Inc., the 2018 Equity Incentive Plan of Dropbox, Inc., and the 2018 Employee Stock Purchase Plan of Dropbox,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333333"/>
          <w:sz w:val="20"/>
        </w:rPr>
        <w:t xml:space="preserve">of our reports dated </w:t>
      </w:r>
      <w:r>
        <w:rPr>
          <w:rFonts w:ascii="Times New Roman;serif" w:hAnsi="Times New Roman;serif"/>
          <w:b w:val="false"/>
          <w:color w:val="000000"/>
          <w:sz w:val="20"/>
        </w:rPr>
        <w:t>February 20, 2026</w:t>
      </w:r>
      <w:r>
        <w:rPr>
          <w:rFonts w:ascii="Times New Roman;serif" w:hAnsi="Times New Roman;serif"/>
          <w:b w:val="false"/>
          <w:color w:val="333333"/>
          <w:sz w:val="20"/>
        </w:rPr>
        <w:t xml:space="preserve">, with respect to the consolidated financial statements of Dropbox, Inc. and the effectiveness of internal control over financial reporting of Dropbox, Inc. included in this Annual Report (Form 10-K) of Dropbox, Inc. for the year ended </w:t>
      </w:r>
      <w:r>
        <w:rPr>
          <w:rFonts w:ascii="Times New Roman;serif" w:hAnsi="Times New Roman;serif"/>
          <w:b w:val="false"/>
          <w:color w:val="000000"/>
          <w:sz w:val="20"/>
        </w:rPr>
        <w:t>December 31, 2025</w:t>
      </w:r>
      <w:r>
        <w:rPr>
          <w:rFonts w:ascii="Times New Roman;serif" w:hAnsi="Times New Roman;serif"/>
          <w:b w:val="false"/>
          <w:color w:val="333333"/>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33333"/>
          <w:sz w:val="20"/>
        </w:rPr>
      </w:pPr>
      <w:r>
        <w:rPr>
          <w:rFonts w:ascii="Times New Roman;serif" w:hAnsi="Times New Roman;serif"/>
          <w:b w:val="false"/>
          <w:color w:val="333333"/>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33333"/>
          <w:sz w:val="20"/>
        </w:rPr>
      </w:pPr>
      <w:r>
        <w:rPr>
          <w:rFonts w:ascii="Times New Roman;serif" w:hAnsi="Times New Roman;serif"/>
          <w:b w:val="false"/>
          <w:color w:val="333333"/>
          <w:sz w:val="20"/>
        </w:rPr>
        <w:t>San Francisco, California</w:t>
      </w:r>
    </w:p>
    <w:p>
      <w:pPr>
        <w:pStyle w:val="TextBody"/>
        <w:bidi w:val="0"/>
        <w:spacing w:lineRule="auto" w:line="288" w:before="0" w:after="0"/>
        <w:jc w:val="left"/>
        <w:rPr/>
      </w:pPr>
      <w:r>
        <w:rPr>
          <w:rFonts w:ascii="Times New Roman;serif" w:hAnsi="Times New Roman;serif"/>
          <w:b w:val="false"/>
          <w:color w:val="000000"/>
          <w:sz w:val="20"/>
        </w:rPr>
        <w:t>February 20, 2026</w:t>
      </w:r>
      <w:r>
        <w:rPr>
          <w:color w:val="333333"/>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W. Houston, certify that: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Dropbox,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bl>
      <w:tblPr>
        <w:tblW w:w="35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Ross Tennenbaum, certify that: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Dropbox,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bl>
      <w:tblPr>
        <w:tblW w:w="3470" w:type="dxa"/>
        <w:jc w:val="left"/>
        <w:tblInd w:w="0" w:type="dxa"/>
        <w:tblLayout w:type="fixed"/>
        <w:tblCellMar>
          <w:top w:w="28" w:type="dxa"/>
          <w:left w:w="28" w:type="dxa"/>
          <w:bottom w:w="28" w:type="dxa"/>
          <w:right w:w="28" w:type="dxa"/>
        </w:tblCellMar>
      </w:tblPr>
      <w:tblGrid>
        <w:gridCol w:w="124"/>
        <w:gridCol w:w="109"/>
        <w:gridCol w:w="109"/>
        <w:gridCol w:w="238"/>
        <w:gridCol w:w="238"/>
        <w:gridCol w:w="238"/>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Ross Tennenbaum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Ross Tennenbaum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Section 1350 of Chapter 63 of Title 18 of the United States Code (18 U.S.C. §1350), as adopted pursuant to Section 906 of the Sarbanes-Oxley Act of 2002, Andrew W. Houston, Chief Executive Officer of Dropbox, Inc. (the “Company”), and Ross Tennenbaum, Chief Financial Officer of the Company, each hereby certifies that, to the best of his knowledge,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Annual Report on Form 10-K for the fiscal year ended December 31, 2025 (the "Periodic Report"), to which this Certification is attached as Exhibit 32.1, fully complies with the requirements of Section 13(a) or Section 15(d) of the Securities Exchange Act of 1934, as amended (the "Exchange Act");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20, 2026 </w:t>
      </w:r>
    </w:p>
    <w:p>
      <w:pPr>
        <w:pStyle w:val="TextBody"/>
        <w:bidi w:val="0"/>
        <w:spacing w:before="0" w:after="0"/>
        <w:jc w:val="left"/>
        <w:rPr/>
      </w:pPr>
      <w:r>
        <w:rPr/>
      </w:r>
    </w:p>
    <w:tbl>
      <w:tblPr>
        <w:tblW w:w="2862" w:type="dxa"/>
        <w:jc w:val="left"/>
        <w:tblInd w:w="0" w:type="dxa"/>
        <w:tblLayout w:type="fixed"/>
        <w:tblCellMar>
          <w:top w:w="28" w:type="dxa"/>
          <w:left w:w="28" w:type="dxa"/>
          <w:bottom w:w="28" w:type="dxa"/>
          <w:right w:w="28" w:type="dxa"/>
        </w:tblCellMar>
      </w:tblPr>
      <w:tblGrid>
        <w:gridCol w:w="903"/>
        <w:gridCol w:w="791"/>
        <w:gridCol w:w="796"/>
        <w:gridCol w:w="109"/>
        <w:gridCol w:w="109"/>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W. Houston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Ross Tennenbaum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Ross Tennenbaum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7623/000110465925021908/tm258574d1_ex2-1.htm" TargetMode="External"/><Relationship Id="rId4" Type="http://schemas.openxmlformats.org/officeDocument/2006/relationships/hyperlink" Target="https://www.sec.gov/Archives/edgar/data/1467623/000110465925021908/tm258574d1_ex3-1.htm" TargetMode="External"/><Relationship Id="rId5" Type="http://schemas.openxmlformats.org/officeDocument/2006/relationships/hyperlink" Target="https://www.sec.gov/Archives/edgar/data/1467623/000110465925021908/tm258574d1_ex3-2.htm" TargetMode="External"/><Relationship Id="rId6" Type="http://schemas.openxmlformats.org/officeDocument/2006/relationships/hyperlink" Target="https://www.sec.gov/Archives/edgar/data/1467623/000119312518078140/d451946dex41.htm" TargetMode="External"/><Relationship Id="rId7" Type="http://schemas.openxmlformats.org/officeDocument/2006/relationships/hyperlink" Target="https://www.sec.gov/Archives/edgar/data/1467623/000119312518055809/d451946dex42.htm" TargetMode="External"/><Relationship Id="rId8" Type="http://schemas.openxmlformats.org/officeDocument/2006/relationships/hyperlink" Target="https://www.sec.gov/Archives/edgar/data/1467623/000146762318000007/exhibit43-q118.htm" TargetMode="External"/><Relationship Id="rId9" Type="http://schemas.openxmlformats.org/officeDocument/2006/relationships/hyperlink" Target="https://www.sec.gov/Archives/edgar/data/0001467623/000119312521061031/d143086dex41.htm" TargetMode="External"/><Relationship Id="rId10" Type="http://schemas.openxmlformats.org/officeDocument/2006/relationships/hyperlink" Target="https://www.sec.gov/Archives/edgar/data/0001467623/000119312521061031/d143086dex42.htm" TargetMode="External"/><Relationship Id="rId11" Type="http://schemas.openxmlformats.org/officeDocument/2006/relationships/hyperlink" Target="https://www.sec.gov/Archives/edgar/data/0001467623/000119312521061031/d143086dex41.htm" TargetMode="External"/><Relationship Id="rId12" Type="http://schemas.openxmlformats.org/officeDocument/2006/relationships/hyperlink" Target="https://www.sec.gov/Archives/edgar/data/0001467623/000119312521061031/d143086dex42.htm" TargetMode="External"/><Relationship Id="rId13" Type="http://schemas.openxmlformats.org/officeDocument/2006/relationships/hyperlink" Target="https://www.sec.gov/Archives/edgar/data/1467623/000110465925021908/tm258574d1_ex4-1.htm" TargetMode="External"/><Relationship Id="rId14" Type="http://schemas.openxmlformats.org/officeDocument/2006/relationships/hyperlink" Target="https://www.sec.gov/Archives/edgar/data/1467623/000110465925021908/tm258574d1_ex4-2.htm" TargetMode="External"/><Relationship Id="rId15" Type="http://schemas.openxmlformats.org/officeDocument/2006/relationships/hyperlink" Target="https://www.sec.gov/Archives/edgar/data/1467623/000119312518055809/d451946dex101.htm" TargetMode="External"/><Relationship Id="rId16" Type="http://schemas.openxmlformats.org/officeDocument/2006/relationships/hyperlink" Target="https://www.sec.gov/Archives/edgar/data/1467623/000146762325000011/exhibit102-q424.htm" TargetMode="External"/><Relationship Id="rId17" Type="http://schemas.openxmlformats.org/officeDocument/2006/relationships/hyperlink" Target="https://www.sec.gov/Archives/edgar/data/1467623/000119312518089786/d553522dex103.htm" TargetMode="External"/><Relationship Id="rId18" Type="http://schemas.openxmlformats.org/officeDocument/2006/relationships/hyperlink" Target="https://www.sec.gov/Archives/edgar/data/1467623/000119312518089786/d553522dex104.htm" TargetMode="External"/><Relationship Id="rId19" Type="http://schemas.openxmlformats.org/officeDocument/2006/relationships/hyperlink" Target="https://www.sec.gov/Archives/edgar/data/1467623/000119312518089786/d553522dex105.htm" TargetMode="External"/><Relationship Id="rId20" Type="http://schemas.openxmlformats.org/officeDocument/2006/relationships/hyperlink" Target="https://www.sec.gov/Archives/edgar/data/1467623/000119312518089786/d553522dex106.htm" TargetMode="External"/><Relationship Id="rId21" Type="http://schemas.openxmlformats.org/officeDocument/2006/relationships/hyperlink" Target="https://www.sec.gov/Archives/edgar/data/1467623/000119312518089786/d553522dex107.htm" TargetMode="External"/><Relationship Id="rId22" Type="http://schemas.openxmlformats.org/officeDocument/2006/relationships/hyperlink" Target="https://www.sec.gov/Archives/edgar/data/1467623/000146762321000012/dbx202010-kex108.htm" TargetMode="External"/><Relationship Id="rId23" Type="http://schemas.openxmlformats.org/officeDocument/2006/relationships/hyperlink" Target="https://www.sec.gov/Archives/edgar/data/1467623/000119312518055809/d451946dex109.htm" TargetMode="External"/><Relationship Id="rId24" Type="http://schemas.openxmlformats.org/officeDocument/2006/relationships/hyperlink" Target="https://www.sec.gov/Archives/edgar/data/1467623/000146762324000008/exhibit1010-q423.htm" TargetMode="External"/><Relationship Id="rId25" Type="http://schemas.openxmlformats.org/officeDocument/2006/relationships/hyperlink" Target="https://www.sec.gov/Archives/edgar/data/1467623/000119312518078140/d451946dex1012.htm" TargetMode="External"/><Relationship Id="rId26" Type="http://schemas.openxmlformats.org/officeDocument/2006/relationships/hyperlink" Target="https://www.sec.gov/Archives/edgar/data/1467623/000119312518078140/d451946dex1012.htm" TargetMode="External"/><Relationship Id="rId27" Type="http://schemas.openxmlformats.org/officeDocument/2006/relationships/hyperlink" Target="https://www.sec.gov/Archives/edgar/data/1467623/000146762320000033/exhibit101.htm" TargetMode="External"/><Relationship Id="rId28" Type="http://schemas.openxmlformats.org/officeDocument/2006/relationships/hyperlink" Target="https://www.sec.gov/Archives/edgar/data/1467623/000119312518055809/d451946dex1019.htm" TargetMode="External"/><Relationship Id="rId29" Type="http://schemas.openxmlformats.org/officeDocument/2006/relationships/hyperlink" Target="https://www.sec.gov/Archives/edgar/data/1467623/000146762318000014/exhibit102-q218.htm" TargetMode="External"/><Relationship Id="rId30" Type="http://schemas.openxmlformats.org/officeDocument/2006/relationships/hyperlink" Target="https://www.sec.gov/ix?doc=/Archives/edgar/data/0001467623/000119312521061031/d143086d8k.htm" TargetMode="External"/><Relationship Id="rId31" Type="http://schemas.openxmlformats.org/officeDocument/2006/relationships/hyperlink" Target="https://www.sec.gov/Archives/edgar/data/0001467623/000119312521061031/d143086dex102.htm" TargetMode="External"/><Relationship Id="rId32" Type="http://schemas.openxmlformats.org/officeDocument/2006/relationships/hyperlink" Target="https://www.sec.gov/Archives/edgar/data/0001467623/000119312521061031/d143086dex103.htm" TargetMode="External"/><Relationship Id="rId33" Type="http://schemas.openxmlformats.org/officeDocument/2006/relationships/hyperlink" Target="https://www.sec.gov/Archives/edgar/data/0001467623/000119312521061031/d143086dex104.htm" TargetMode="External"/><Relationship Id="rId34" Type="http://schemas.openxmlformats.org/officeDocument/2006/relationships/hyperlink" Target="https://www.sec.gov/Archives/edgar/data/0001467623/000119312521061031/d143086dex105.htm" TargetMode="External"/><Relationship Id="rId35" Type="http://schemas.openxmlformats.org/officeDocument/2006/relationships/hyperlink" Target="https://www.sec.gov/Archives/edgar/data/1467623/000146762320000011/dbx201910-kex1022.htm" TargetMode="External"/><Relationship Id="rId36" Type="http://schemas.openxmlformats.org/officeDocument/2006/relationships/hyperlink" Target="https://www.sec.gov/Archives/edgar/data/1467623/000146762322000015/exhibit1026-q421.htm" TargetMode="External"/><Relationship Id="rId37" Type="http://schemas.openxmlformats.org/officeDocument/2006/relationships/hyperlink" Target="https://www.sec.gov/Archives/edgar/data/1467623/000146762324000008/exhibit1024-q423.htm" TargetMode="External"/><Relationship Id="rId38" Type="http://schemas.openxmlformats.org/officeDocument/2006/relationships/hyperlink" Target="https://www.sec.gov/Archives/edgar/data/1467623/000146762324000057/december2024exhibit101.htm" TargetMode="External"/><Relationship Id="rId39" Type="http://schemas.openxmlformats.org/officeDocument/2006/relationships/hyperlink" Target="https://www.sec.gov/Archives/edgar/data/1467623/000146762325000060/exhibit101-q125.htm" TargetMode="External"/><Relationship Id="rId40" Type="http://schemas.openxmlformats.org/officeDocument/2006/relationships/hyperlink" Target="https://www.sec.gov/Archives/edgar/data/1467623/000146762325000060/exhibit102-q125.htm" TargetMode="External"/><Relationship Id="rId41" Type="http://schemas.openxmlformats.org/officeDocument/2006/relationships/hyperlink" Target="https://www.sec.gov/Archives/edgar/data/1467623/000146762325000060/exhibit103-q125.htm" TargetMode="External"/><Relationship Id="rId42" Type="http://schemas.openxmlformats.org/officeDocument/2006/relationships/hyperlink" Target="https://www.sec.gov/Archives/edgar/data/1467623/000146762325000123/dropbox-amendmentno1tocr.htm" TargetMode="External"/><Relationship Id="rId43" Type="http://schemas.openxmlformats.org/officeDocument/2006/relationships/hyperlink" Target="https://www.sec.gov/Archives/edgar/data/1467623/000146762324000008/exhibit971-q423.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82635</Words>
  <Characters>452190</Characters>
  <CharactersWithSpaces>531913</CharactersWithSpaces>
  <Paragraphs>5194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