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#26210C104</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9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#26210C104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9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1,551,768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12,737,377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12,737,377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7.583%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#26210C104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12,737,377</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12,737,377</w:t>
      </w:r>
    </w:p>
    <w:p>
      <w:pPr>
        <w:spacing w:after="0" w:line="237" w:lineRule="auto"/>
        <w:rPr>
          <w:sz w:val="20"/>
          <w:szCs w:val="20"/>
          <w:color w:val="auto"/>
        </w:rPr>
      </w:pPr>
      <w:r>
        <w:rPr>
          <w:rFonts w:ascii="Courier New" w:cs="Courier New" w:eastAsia="Courier New" w:hAnsi="Courier New"/>
          <w:sz w:val="18"/>
          <w:szCs w:val="18"/>
          <w:color w:val="auto"/>
        </w:rPr>
        <w:t>Item 11: 7.583%</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333 BRANNAN STREET</w:t>
      </w:r>
    </w:p>
    <w:p>
      <w:pPr>
        <w:spacing w:after="0" w:line="238" w:lineRule="auto"/>
        <w:rPr>
          <w:sz w:val="20"/>
          <w:szCs w:val="20"/>
          <w:color w:val="auto"/>
        </w:rPr>
      </w:pPr>
      <w:r>
        <w:rPr>
          <w:rFonts w:ascii="Courier New" w:cs="Courier New" w:eastAsia="Courier New" w:hAnsi="Courier New"/>
          <w:sz w:val="18"/>
          <w:szCs w:val="18"/>
          <w:color w:val="auto"/>
        </w:rPr>
        <w:t>SAN FRANCISCO, CA 94107</w:t>
      </w:r>
    </w:p>
    <w:p>
      <w:pPr>
        <w:spacing w:after="0" w:line="238" w:lineRule="auto"/>
        <w:rPr>
          <w:sz w:val="20"/>
          <w:szCs w:val="20"/>
          <w:color w:val="auto"/>
        </w:rPr>
      </w:pPr>
      <w:r>
        <w:rPr>
          <w:rFonts w:ascii="Courier New" w:cs="Courier New" w:eastAsia="Courier New" w:hAnsi="Courier New"/>
          <w:sz w:val="18"/>
          <w:szCs w:val="18"/>
          <w:color w:val="auto"/>
        </w:rPr>
        <w:t>US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07" w:lineRule="exact"/>
        <w:rPr>
          <w:sz w:val="24"/>
          <w:szCs w:val="24"/>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12,737,377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7.583%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99"/>
          </w:cols>
          <w:pgMar w:left="160" w:top="164" w:right="1440" w:bottom="0" w:gutter="0" w:footer="0" w:header="0"/>
        </w:sectPr>
      </w:pPr>
    </w:p>
    <w:bookmarkStart w:id="1" w:name="page2"/>
    <w:bookmarkEnd w:id="1"/>
    <w:p>
      <w:pPr>
        <w:spacing w:after="0" w:line="25"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1,551,768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12,737,377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DROPBOX INC. No one other person's interest in the CLASS A COMMON STOCK of DROPBOX INC is more than five percent of the total outstanding CLASS A COMMON STOCK.</w:t>
      </w:r>
    </w:p>
    <w:p>
      <w:pPr>
        <w:spacing w:after="0" w:line="208"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rPr>
          <w:sz w:val="20"/>
          <w:szCs w:val="20"/>
          <w:color w:val="auto"/>
        </w:rPr>
      </w:pPr>
      <w:r>
        <w:rPr>
          <w:rFonts w:ascii="Courier New" w:cs="Courier New" w:eastAsia="Courier New" w:hAnsi="Courier New"/>
          <w:sz w:val="18"/>
          <w:szCs w:val="18"/>
          <w:color w:val="auto"/>
        </w:rPr>
        <w:t>FMR CO., INC * 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63" w:orient="portrait"/>
          <w:cols w:equalWidth="0" w:num="1">
            <w:col w:w="10299"/>
          </w:cols>
          <w:pgMar w:left="160" w:top="25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0"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CLASS A COMMON STOCK of DROPBOX INC at December 31,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99"/>
      </w:cols>
      <w:pgMar w:left="160" w:top="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2019-12-15T14:20:32Z</dcterms:created>
  <dcterms:modified xsi:type="dcterms:W3CDTF">2019-12-15T14:20:32Z</dcterms:modified>
</cp:coreProperties>
</file>