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628179.xml.htm"/>
      <w:bookmarkStart w:id="1" w:name="kswkform4_17836281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Peacock Karen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24,366</w:t>
            </w:r>
            <w:r>
              <w:rPr>
                <w:rFonts w:ascii="Times;serif" w:hAnsi="Times;serif"/>
                <w:color w:val="008000"/>
                <w:position w:val="7"/>
                <w:sz w:val="16"/>
                <w:sz w:val="20"/>
                <w:shd w:fill="FFFFFF" w:val="clear"/>
              </w:rPr>
              <w:t>(2)</w:t>
            </w:r>
            <w:r>
              <w:rPr/>
              <w:t xml:space="preserve"> </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December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May 21, 2027 or the day prior to the date of the Issuer's next annual meeting of stockholders.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section16powerofattorney.htm"/>
      <w:bookmarkStart w:id="3" w:name="kssection16powerofattorney"/>
      <w:bookmarkEnd w:id="2"/>
      <w:bookmarkEnd w:id="3"/>
      <w:r>
        <w:rPr/>
        <w:drawing>
          <wp:inline distT="0" distB="0" distL="0" distR="0">
            <wp:extent cx="10687050"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687050"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6299"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654</Words>
  <Characters>3517</Characters>
  <CharactersWithSpaces>4114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