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1"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243840</wp:posOffset>
            </wp:positionV>
            <wp:extent cx="14306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366"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44450</wp:posOffset>
            </wp:positionV>
            <wp:extent cx="14306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Pursuant to Section 13 or 15(d)</w:t>
      </w:r>
    </w:p>
    <w:p>
      <w:pPr>
        <w:spacing w:after="0" w:line="3"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August 8, 2019</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2060575</wp:posOffset>
            </wp:positionH>
            <wp:positionV relativeFrom="paragraph">
              <wp:posOffset>243840</wp:posOffset>
            </wp:positionV>
            <wp:extent cx="3143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3885" cy="8255"/>
                    </a:xfrm>
                    <a:prstGeom prst="rect">
                      <a:avLst/>
                    </a:prstGeom>
                    <a:noFill/>
                  </pic:spPr>
                </pic:pic>
              </a:graphicData>
            </a:graphic>
          </wp:anchor>
        </w:drawing>
      </w:r>
    </w:p>
    <w:p>
      <w:pPr>
        <w:spacing w:after="0" w:line="366"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DROPBOX, INC.</w:t>
      </w:r>
    </w:p>
    <w:p>
      <w:pPr>
        <w:spacing w:after="0" w:line="4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2060575</wp:posOffset>
            </wp:positionH>
            <wp:positionV relativeFrom="paragraph">
              <wp:posOffset>21590</wp:posOffset>
            </wp:positionV>
            <wp:extent cx="3143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3885" cy="8255"/>
                    </a:xfrm>
                    <a:prstGeom prst="rect">
                      <a:avLst/>
                    </a:prstGeom>
                    <a:noFill/>
                  </pic:spPr>
                </pic:pic>
              </a:graphicData>
            </a:graphic>
          </wp:anchor>
        </w:drawing>
      </w:r>
    </w:p>
    <w:p>
      <w:pPr>
        <w:sectPr>
          <w:pgSz w:w="11900" w:h="16838" w:orient="portrait"/>
          <w:cols w:equalWidth="0" w:num="1">
            <w:col w:w="11520"/>
          </w:cols>
          <w:pgMar w:left="240" w:top="220" w:right="139" w:bottom="1440" w:gutter="0" w:footer="0" w:header="0"/>
        </w:sectPr>
      </w:pPr>
    </w:p>
    <w:p>
      <w:pPr>
        <w:spacing w:after="0" w:line="200" w:lineRule="exact"/>
        <w:rPr>
          <w:sz w:val="24"/>
          <w:szCs w:val="24"/>
          <w:color w:val="auto"/>
        </w:rPr>
      </w:pPr>
    </w:p>
    <w:p>
      <w:pPr>
        <w:spacing w:after="0" w:line="369"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001-38434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26-0138832</w:t>
      </w:r>
    </w:p>
    <w:p>
      <w:pPr>
        <w:spacing w:after="0" w:line="86" w:lineRule="exact"/>
        <w:rPr>
          <w:sz w:val="24"/>
          <w:szCs w:val="24"/>
          <w:color w:val="auto"/>
        </w:rPr>
      </w:pPr>
    </w:p>
    <w:p>
      <w:pPr>
        <w:sectPr>
          <w:pgSz w:w="11900" w:h="16838" w:orient="portrait"/>
          <w:cols w:equalWidth="0" w:num="3">
            <w:col w:w="4660" w:space="720"/>
            <w:col w:w="2540" w:space="720"/>
            <w:col w:w="2880"/>
          </w:cols>
          <w:pgMar w:left="240" w:top="220" w:right="139" w:bottom="1440" w:gutter="0" w:footer="0" w:header="0"/>
          <w:type w:val="continuous"/>
        </w:sectPr>
      </w:pPr>
    </w:p>
    <w:p>
      <w:pPr>
        <w:jc w:val="center"/>
        <w:ind w:left="82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 R. S. Employer Identification No.)</w:t>
      </w:r>
    </w:p>
    <w:p>
      <w:pPr>
        <w:spacing w:after="0" w:line="50" w:lineRule="exact"/>
        <w:rPr>
          <w:sz w:val="24"/>
          <w:szCs w:val="24"/>
          <w:color w:val="auto"/>
        </w:rPr>
      </w:pPr>
    </w:p>
    <w:p>
      <w:pPr>
        <w:sectPr>
          <w:pgSz w:w="11900" w:h="16838" w:orient="portrait"/>
          <w:cols w:equalWidth="0" w:num="3">
            <w:col w:w="4000" w:space="720"/>
            <w:col w:w="2220" w:space="720"/>
            <w:col w:w="3860"/>
          </w:cols>
          <w:pgMar w:left="240" w:top="220" w:right="139" w:bottom="1440" w:gutter="0" w:footer="0" w:header="0"/>
          <w:type w:val="continuous"/>
        </w:sectPr>
      </w:pPr>
    </w:p>
    <w:p>
      <w:pPr>
        <w:ind w:left="1840"/>
        <w:spacing w:after="0"/>
        <w:rPr>
          <w:sz w:val="20"/>
          <w:szCs w:val="20"/>
          <w:color w:val="auto"/>
        </w:rPr>
      </w:pPr>
      <w:r>
        <w:rPr>
          <w:rFonts w:ascii="Arial" w:cs="Arial" w:eastAsia="Arial" w:hAnsi="Arial"/>
          <w:sz w:val="16"/>
          <w:szCs w:val="16"/>
          <w:b w:val="1"/>
          <w:bCs w:val="1"/>
          <w:color w:val="auto"/>
        </w:rPr>
        <w:t>incorporation)</w:t>
      </w:r>
    </w:p>
    <w:p>
      <w:pPr>
        <w:sectPr>
          <w:pgSz w:w="11900" w:h="16838" w:orient="portrait"/>
          <w:cols w:equalWidth="0" w:num="1">
            <w:col w:w="11520"/>
          </w:cols>
          <w:pgMar w:left="240" w:top="220" w:right="139" w:bottom="1440" w:gutter="0" w:footer="0" w:header="0"/>
          <w:type w:val="continuous"/>
        </w:sectPr>
      </w:pPr>
    </w:p>
    <w:p>
      <w:pPr>
        <w:spacing w:after="0" w:line="20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333 Brannan St.</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94107</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37"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4"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4"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4" w:lineRule="exact"/>
        <w:rPr>
          <w:rFonts w:ascii="MS PGothic" w:cs="MS PGothic" w:eastAsia="MS PGothic" w:hAnsi="MS PGothic"/>
          <w:sz w:val="18"/>
          <w:szCs w:val="18"/>
          <w:color w:val="auto"/>
        </w:rPr>
      </w:pPr>
    </w:p>
    <w:p>
      <w:pPr>
        <w:ind w:right="3140" w:firstLine="8"/>
        <w:spacing w:after="0" w:line="566"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459105</wp:posOffset>
            </wp:positionH>
            <wp:positionV relativeFrom="paragraph">
              <wp:posOffset>-87630</wp:posOffset>
            </wp:positionV>
            <wp:extent cx="6347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47460" cy="8255"/>
                    </a:xfrm>
                    <a:prstGeom prst="rect">
                      <a:avLst/>
                    </a:prstGeom>
                    <a:noFill/>
                  </pic:spPr>
                </pic:pic>
              </a:graphicData>
            </a:graphic>
          </wp:anchor>
        </w:drawing>
      </w:r>
    </w:p>
    <w:tbl>
      <w:tblPr>
        <w:tblLayout w:type="fixed"/>
        <w:tblInd w:w="860" w:type="dxa"/>
        <w:tblCellMar>
          <w:top w:w="0" w:type="dxa"/>
          <w:left w:w="0" w:type="dxa"/>
          <w:bottom w:w="0" w:type="dxa"/>
          <w:right w:w="0" w:type="dxa"/>
        </w:tblCellMar>
      </w:tblPr>
      <w:tr>
        <w:trPr>
          <w:trHeight w:val="158"/>
        </w:trPr>
        <w:tc>
          <w:tcPr>
            <w:tcW w:w="1020" w:type="dxa"/>
            <w:vAlign w:val="bottom"/>
          </w:tcPr>
          <w:p>
            <w:pPr>
              <w:spacing w:after="0"/>
              <w:rPr>
                <w:sz w:val="13"/>
                <w:szCs w:val="13"/>
                <w:color w:val="auto"/>
              </w:rPr>
            </w:pPr>
          </w:p>
        </w:tc>
        <w:tc>
          <w:tcPr>
            <w:tcW w:w="2720" w:type="dxa"/>
            <w:vAlign w:val="bottom"/>
            <w:gridSpan w:val="2"/>
          </w:tcPr>
          <w:p>
            <w:pPr>
              <w:jc w:val="center"/>
              <w:ind w:right="1568"/>
              <w:spacing w:after="0" w:line="158" w:lineRule="exact"/>
              <w:rPr>
                <w:sz w:val="20"/>
                <w:szCs w:val="20"/>
                <w:color w:val="auto"/>
              </w:rPr>
            </w:pPr>
            <w:r>
              <w:rPr>
                <w:rFonts w:ascii="Arial" w:cs="Arial" w:eastAsia="Arial" w:hAnsi="Arial"/>
                <w:sz w:val="14"/>
                <w:szCs w:val="14"/>
                <w:b w:val="1"/>
                <w:bCs w:val="1"/>
                <w:color w:val="auto"/>
                <w:w w:val="89"/>
              </w:rPr>
              <w:t>Title of each class</w:t>
            </w:r>
          </w:p>
        </w:tc>
        <w:tc>
          <w:tcPr>
            <w:tcW w:w="3300" w:type="dxa"/>
            <w:vAlign w:val="bottom"/>
            <w:gridSpan w:val="3"/>
          </w:tcPr>
          <w:p>
            <w:pPr>
              <w:jc w:val="center"/>
              <w:ind w:right="940"/>
              <w:spacing w:after="0" w:line="158" w:lineRule="exact"/>
              <w:rPr>
                <w:sz w:val="20"/>
                <w:szCs w:val="20"/>
                <w:color w:val="auto"/>
              </w:rPr>
            </w:pPr>
            <w:r>
              <w:rPr>
                <w:rFonts w:ascii="Arial" w:cs="Arial" w:eastAsia="Arial" w:hAnsi="Arial"/>
                <w:sz w:val="14"/>
                <w:szCs w:val="14"/>
                <w:b w:val="1"/>
                <w:bCs w:val="1"/>
                <w:color w:val="auto"/>
                <w:w w:val="94"/>
              </w:rPr>
              <w:t>Trading Symbol(s)</w:t>
            </w:r>
          </w:p>
        </w:tc>
        <w:tc>
          <w:tcPr>
            <w:tcW w:w="23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0"/>
              </w:rPr>
              <w:t>Name of exchange on which registered</w:t>
            </w:r>
          </w:p>
        </w:tc>
      </w:tr>
      <w:tr>
        <w:trPr>
          <w:trHeight w:val="123"/>
        </w:trPr>
        <w:tc>
          <w:tcPr>
            <w:tcW w:w="1020" w:type="dxa"/>
            <w:vAlign w:val="bottom"/>
          </w:tcPr>
          <w:p>
            <w:pPr>
              <w:spacing w:after="0" w:line="123" w:lineRule="exact"/>
              <w:rPr>
                <w:sz w:val="20"/>
                <w:szCs w:val="20"/>
                <w:color w:val="auto"/>
              </w:rPr>
            </w:pPr>
            <w:r>
              <w:rPr>
                <w:rFonts w:ascii="Arial" w:cs="Arial" w:eastAsia="Arial" w:hAnsi="Arial"/>
                <w:sz w:val="14"/>
                <w:szCs w:val="14"/>
                <w:color w:val="auto"/>
                <w:w w:val="91"/>
              </w:rPr>
              <w:t>Class A Common</w:t>
            </w:r>
          </w:p>
        </w:tc>
        <w:tc>
          <w:tcPr>
            <w:tcW w:w="10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Stock, par value $</w:t>
            </w:r>
          </w:p>
        </w:tc>
        <w:tc>
          <w:tcPr>
            <w:tcW w:w="1640" w:type="dxa"/>
            <w:vAlign w:val="bottom"/>
          </w:tcPr>
          <w:p>
            <w:pPr>
              <w:spacing w:after="0" w:line="123" w:lineRule="exact"/>
              <w:rPr>
                <w:sz w:val="20"/>
                <w:szCs w:val="20"/>
                <w:color w:val="auto"/>
              </w:rPr>
            </w:pPr>
            <w:r>
              <w:rPr>
                <w:rFonts w:ascii="Arial" w:cs="Arial" w:eastAsia="Arial" w:hAnsi="Arial"/>
                <w:sz w:val="14"/>
                <w:szCs w:val="14"/>
                <w:color w:val="auto"/>
              </w:rPr>
              <w:t>0.00001 per share</w:t>
            </w:r>
          </w:p>
        </w:tc>
        <w:tc>
          <w:tcPr>
            <w:tcW w:w="600" w:type="dxa"/>
            <w:vAlign w:val="bottom"/>
          </w:tcPr>
          <w:p>
            <w:pPr>
              <w:spacing w:after="0"/>
              <w:rPr>
                <w:sz w:val="10"/>
                <w:szCs w:val="10"/>
                <w:color w:val="auto"/>
              </w:rPr>
            </w:pPr>
          </w:p>
        </w:tc>
        <w:tc>
          <w:tcPr>
            <w:tcW w:w="11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DBX</w:t>
            </w:r>
          </w:p>
        </w:tc>
        <w:tc>
          <w:tcPr>
            <w:tcW w:w="1540" w:type="dxa"/>
            <w:vAlign w:val="bottom"/>
          </w:tcPr>
          <w:p>
            <w:pPr>
              <w:spacing w:after="0"/>
              <w:rPr>
                <w:sz w:val="10"/>
                <w:szCs w:val="10"/>
                <w:color w:val="auto"/>
              </w:rPr>
            </w:pPr>
          </w:p>
        </w:tc>
        <w:tc>
          <w:tcPr>
            <w:tcW w:w="23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The NASDAQ Stock Market LLC</w:t>
            </w:r>
          </w:p>
        </w:tc>
        <w:tc>
          <w:tcPr>
            <w:tcW w:w="20" w:type="dxa"/>
            <w:vAlign w:val="bottom"/>
          </w:tcPr>
          <w:p>
            <w:pPr>
              <w:spacing w:after="0"/>
              <w:rPr>
                <w:sz w:val="10"/>
                <w:szCs w:val="10"/>
                <w:color w:val="auto"/>
              </w:rPr>
            </w:pPr>
          </w:p>
        </w:tc>
      </w:tr>
      <w:tr>
        <w:trPr>
          <w:trHeight w:val="182"/>
        </w:trPr>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(Nasdaq Global Select Market)</w:t>
            </w:r>
          </w:p>
        </w:tc>
      </w:tr>
    </w:tbl>
    <w:p>
      <w:pPr>
        <w:spacing w:after="0" w:line="37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7"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520"/>
          </w:cols>
          <w:pgMar w:left="240" w:top="220" w:right="1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29" w:lineRule="exact"/>
        <w:rPr>
          <w:sz w:val="20"/>
          <w:szCs w:val="20"/>
          <w:color w:val="auto"/>
        </w:rPr>
      </w:pPr>
    </w:p>
    <w:p>
      <w:pPr>
        <w:ind w:right="320"/>
        <w:spacing w:after="0" w:line="341" w:lineRule="auto"/>
        <w:rPr>
          <w:sz w:val="20"/>
          <w:szCs w:val="20"/>
          <w:color w:val="auto"/>
        </w:rPr>
      </w:pPr>
      <w:r>
        <w:rPr>
          <w:rFonts w:ascii="Arial" w:cs="Arial" w:eastAsia="Arial" w:hAnsi="Arial"/>
          <w:sz w:val="16"/>
          <w:szCs w:val="16"/>
          <w:color w:val="auto"/>
        </w:rPr>
        <w:t>On August 8, 2019, Dropbox, Inc. (“Dropbox”) issued a press release and will hold a conference call announcing its financial results for the quarter ended June 30, 2019. A copy of the press release is attached as Exhibit 99.1 to this current report on Form 8-K and is incorporated by reference herein.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229" w:lineRule="exact"/>
        <w:rPr>
          <w:sz w:val="20"/>
          <w:szCs w:val="20"/>
          <w:color w:val="auto"/>
        </w:rPr>
      </w:pPr>
    </w:p>
    <w:p>
      <w:pPr>
        <w:ind w:right="80"/>
        <w:spacing w:after="0" w:line="341" w:lineRule="auto"/>
        <w:rPr>
          <w:sz w:val="20"/>
          <w:szCs w:val="20"/>
          <w:color w:val="auto"/>
        </w:rPr>
      </w:pPr>
      <w:r>
        <w:rPr>
          <w:rFonts w:ascii="Arial" w:cs="Arial" w:eastAsia="Arial" w:hAnsi="Arial"/>
          <w:sz w:val="16"/>
          <w:szCs w:val="16"/>
          <w:color w:val="auto"/>
        </w:rPr>
        <w:t>On August 8, 2019,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125"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The information in this current report on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499"/>
        </w:trPr>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 No.</w:t>
            </w: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96"/>
        </w:trPr>
        <w:tc>
          <w:tcPr>
            <w:tcW w:w="1160" w:type="dxa"/>
            <w:vAlign w:val="bottom"/>
          </w:tcPr>
          <w:p>
            <w:pPr>
              <w:jc w:val="right"/>
              <w:ind w:right="330"/>
              <w:spacing w:after="0" w:line="196"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entitled “Dropbox Announces Fiscal 2019 Second Quarter Results” dated August 8, 2019</w:t>
              </w:r>
            </w:hyperlink>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60" w:type="dxa"/>
            <w:vAlign w:val="bottom"/>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2019</w:t>
      </w:r>
    </w:p>
    <w:p>
      <w:pPr>
        <w:spacing w:after="0" w:line="200" w:lineRule="exact"/>
        <w:rPr>
          <w:sz w:val="20"/>
          <w:szCs w:val="20"/>
          <w:color w:val="auto"/>
        </w:rPr>
      </w:pPr>
    </w:p>
    <w:p>
      <w:pPr>
        <w:spacing w:after="0" w:line="39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Dropbox, Inc.</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 Ajay Vashee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31750</wp:posOffset>
            </wp:positionV>
            <wp:extent cx="2827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56"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Ajay Vashee</w:t>
      </w:r>
    </w:p>
    <w:p>
      <w:pPr>
        <w:spacing w:after="0" w:line="6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60"/>
          </w:cols>
          <w:pgMar w:left="240" w:top="580" w:right="39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Dropbox Announces Fiscal 2019 Second Quarter Results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Revenue of $401.5 Million, Up 18% Year-over-year</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Net Cash Provided by Operating Activities of $128.8 Million and Free Cash Flow of $95.1 Million</w:t>
      </w:r>
    </w:p>
    <w:p>
      <w:pPr>
        <w:spacing w:after="0" w:line="206" w:lineRule="exact"/>
        <w:rPr>
          <w:sz w:val="20"/>
          <w:szCs w:val="20"/>
          <w:color w:val="auto"/>
        </w:rPr>
      </w:pPr>
    </w:p>
    <w:p>
      <w:pPr>
        <w:ind w:right="200"/>
        <w:spacing w:after="0" w:line="281" w:lineRule="auto"/>
        <w:rPr>
          <w:sz w:val="20"/>
          <w:szCs w:val="20"/>
          <w:color w:val="auto"/>
        </w:rPr>
      </w:pPr>
      <w:r>
        <w:rPr>
          <w:rFonts w:ascii="Arial" w:cs="Arial" w:eastAsia="Arial" w:hAnsi="Arial"/>
          <w:sz w:val="18"/>
          <w:szCs w:val="18"/>
          <w:b w:val="1"/>
          <w:bCs w:val="1"/>
          <w:color w:val="auto"/>
        </w:rPr>
        <w:t xml:space="preserve">SAN FRANCISCO, Calif. </w:t>
      </w:r>
      <w:r>
        <w:rPr>
          <w:rFonts w:ascii="Arial" w:cs="Arial" w:eastAsia="Arial" w:hAnsi="Arial"/>
          <w:sz w:val="18"/>
          <w:szCs w:val="18"/>
          <w:color w:val="auto"/>
        </w:rPr>
        <w:t>- August 8, 2019 - Dropbox, Inc. (NASDAQ: DBX), a leading global collaboration platform, today announced financial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for its second fiscal quarter ended June 30, 2019.</w:t>
      </w:r>
    </w:p>
    <w:p>
      <w:pPr>
        <w:spacing w:after="0" w:line="16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“Q2 was another solid quarter of execution, highlighted by paying user growth, ARPU expansion, and the launch of a completely reimagined Dropbox experience that brings content, tools, and teams together,” said Dropbox Co-founder and Chief Executive Officer Drew Houston. “We continue to balance growth and profitability while delivering product updates our users find valuable. We’re making great progress on our mission of designing a more enlightened way of working and are excited about the remainder of 2019 and beyond.”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2019 Results</w:t>
      </w:r>
    </w:p>
    <w:p>
      <w:pPr>
        <w:spacing w:after="0" w:line="229" w:lineRule="exact"/>
        <w:rPr>
          <w:sz w:val="20"/>
          <w:szCs w:val="20"/>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revenue was $401.5 million, an increase of 18% from the same period last year.</w:t>
      </w:r>
    </w:p>
    <w:p>
      <w:pPr>
        <w:spacing w:after="0" w:line="224" w:lineRule="exact"/>
        <w:rPr>
          <w:rFonts w:ascii="Arial" w:cs="Arial" w:eastAsia="Arial" w:hAnsi="Arial"/>
          <w:sz w:val="18"/>
          <w:szCs w:val="18"/>
          <w:color w:val="auto"/>
        </w:rPr>
      </w:pPr>
    </w:p>
    <w:p>
      <w:pPr>
        <w:ind w:left="660" w:right="54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Paying users totaled 13.6 million, as compared to 11.9 million for the same period last year. Average revenue per paying user was $120.48, as compared to $116.66 for the same period last year.</w:t>
      </w:r>
    </w:p>
    <w:p>
      <w:pPr>
        <w:spacing w:after="0" w:line="169" w:lineRule="exact"/>
        <w:rPr>
          <w:rFonts w:ascii="Arial" w:cs="Arial" w:eastAsia="Arial" w:hAnsi="Arial"/>
          <w:sz w:val="18"/>
          <w:szCs w:val="18"/>
          <w:color w:val="auto"/>
        </w:rPr>
      </w:pPr>
    </w:p>
    <w:p>
      <w:pPr>
        <w:ind w:left="660" w:right="10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gross margin was 74.4%, as compared to 73.6% in the same period last year. Non-GAAP gross margin was 75.8%, as compared to 74.5% in the same period last year.</w:t>
      </w:r>
    </w:p>
    <w:p>
      <w:pPr>
        <w:spacing w:after="0" w:line="169" w:lineRule="exact"/>
        <w:rPr>
          <w:rFonts w:ascii="Arial" w:cs="Arial" w:eastAsia="Arial" w:hAnsi="Arial"/>
          <w:sz w:val="18"/>
          <w:szCs w:val="18"/>
          <w:color w:val="auto"/>
        </w:rPr>
      </w:pPr>
    </w:p>
    <w:p>
      <w:pPr>
        <w:ind w:left="660" w:right="14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operating margin was (8.5%), as compared to (2.1%) in the same period last year. Non-GAAP operating margin was 10.1%, as compared to 14.1% in the same period last year.</w:t>
      </w:r>
    </w:p>
    <w:p>
      <w:pPr>
        <w:spacing w:after="0" w:line="169" w:lineRule="exact"/>
        <w:rPr>
          <w:rFonts w:ascii="Arial" w:cs="Arial" w:eastAsia="Arial" w:hAnsi="Arial"/>
          <w:sz w:val="18"/>
          <w:szCs w:val="18"/>
          <w:color w:val="auto"/>
        </w:rPr>
      </w:pPr>
    </w:p>
    <w:p>
      <w:pPr>
        <w:ind w:left="660" w:right="60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net loss was ($21.4) million, as compared to ($4.1) million in the same period last year. Non-GAAP net income was $42.0 million, as compared to $48.0 million in the same period last year.</w:t>
      </w:r>
    </w:p>
    <w:p>
      <w:pPr>
        <w:spacing w:after="0" w:line="169" w:lineRule="exact"/>
        <w:rPr>
          <w:rFonts w:ascii="Arial" w:cs="Arial" w:eastAsia="Arial" w:hAnsi="Arial"/>
          <w:sz w:val="18"/>
          <w:szCs w:val="18"/>
          <w:color w:val="auto"/>
        </w:rPr>
      </w:pPr>
    </w:p>
    <w:p>
      <w:pPr>
        <w:ind w:left="660" w:right="14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 was $128.8 million, as compared to $111.9 million in the same period last year. Free cash flow was $95.1 million, as compared to $102.2 million in the same period last year.</w:t>
      </w:r>
    </w:p>
    <w:p>
      <w:pPr>
        <w:spacing w:after="0" w:line="169" w:lineRule="exact"/>
        <w:rPr>
          <w:rFonts w:ascii="Arial" w:cs="Arial" w:eastAsia="Arial" w:hAnsi="Arial"/>
          <w:sz w:val="18"/>
          <w:szCs w:val="18"/>
          <w:color w:val="auto"/>
        </w:rPr>
      </w:pPr>
    </w:p>
    <w:p>
      <w:pPr>
        <w:ind w:left="660" w:hanging="328"/>
        <w:spacing w:after="0" w:line="281"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GAAP basic and diluted net loss per share was ($0.05), as compared to ($0.01) in the same period last year. Non-GAAP diluted net income per share was $0.10, as compared to $0.11 in the same period last year. </w:t>
      </w:r>
      <w:r>
        <w:rPr>
          <w:rFonts w:ascii="Arial" w:cs="Arial" w:eastAsia="Arial" w:hAnsi="Arial"/>
          <w:sz w:val="25"/>
          <w:szCs w:val="25"/>
          <w:color w:val="auto"/>
          <w:vertAlign w:val="superscript"/>
        </w:rPr>
        <w:t>(1)</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Cash, cash equivalents and short-term investments were $972.8 million at the end of the second quarter of 2019.</w:t>
      </w:r>
    </w:p>
    <w:p>
      <w:pPr>
        <w:spacing w:after="0" w:line="242" w:lineRule="exact"/>
        <w:rPr>
          <w:rFonts w:ascii="Arial" w:cs="Arial" w:eastAsia="Arial" w:hAnsi="Arial"/>
          <w:sz w:val="18"/>
          <w:szCs w:val="18"/>
          <w:color w:val="auto"/>
        </w:rPr>
      </w:pPr>
    </w:p>
    <w:p>
      <w:pPr>
        <w:ind w:right="200" w:firstLine="8"/>
        <w:spacing w:after="0" w:line="308" w:lineRule="auto"/>
        <w:tabs>
          <w:tab w:leader="none" w:pos="174" w:val="left"/>
        </w:tabs>
        <w:numPr>
          <w:ilvl w:val="0"/>
          <w:numId w:val="2"/>
        </w:numPr>
        <w:rPr>
          <w:rFonts w:ascii="Arial" w:cs="Arial" w:eastAsia="Arial" w:hAnsi="Arial"/>
          <w:sz w:val="20"/>
          <w:szCs w:val="20"/>
          <w:color w:val="auto"/>
          <w:vertAlign w:val="superscript"/>
        </w:rPr>
      </w:pPr>
      <w:r>
        <w:rPr>
          <w:rFonts w:ascii="Arial" w:cs="Arial" w:eastAsia="Arial" w:hAnsi="Arial"/>
          <w:sz w:val="13"/>
          <w:szCs w:val="13"/>
          <w:color w:val="auto"/>
        </w:rPr>
        <w:t>Non-GAAP diluted net income per share is calculated based upon 418.7 million and 423.1 million diluted weighted-average shares of common stock for the three months ended June 30, 2019 and 2018, respectively.</w:t>
      </w:r>
    </w:p>
    <w:p>
      <w:pPr>
        <w:sectPr>
          <w:pgSz w:w="11900" w:h="16838" w:orient="portrait"/>
          <w:cols w:equalWidth="0" w:num="1">
            <w:col w:w="11380"/>
          </w:cols>
          <w:pgMar w:left="240" w:top="580"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Outlook</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Dropbox will provide forward-looking guidance in connection with this quarterly earnings announcement on its conference call, webcast, and on its investor relations website at investors.dropbox.com.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Dropbox plans to host a conference call today to review its second quarter financial results and to discuss its financial outlook. This call is scheduled to begin at 2:00 p.m. PT / 5:00 p.m. ET and can be accessed by dialing (877) 300-7844 from the United States or (786) 815-8440 internationally with reference to the company name and conference title, and a live webcast and replay of the conference call can be accessed from the Dropbox investor relations website at investors.dropbox.com. Following the completion of the call, a telephonic replay will be available through 11:59 PM ET on August 15, 2019 at (855) 859-2056 from the United States or (404) 537-3406 internationally with recording access code 4387238.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Upcoming Events</w:t>
      </w:r>
    </w:p>
    <w:p>
      <w:pPr>
        <w:spacing w:after="0" w:line="229" w:lineRule="exact"/>
        <w:rPr>
          <w:sz w:val="20"/>
          <w:szCs w:val="20"/>
          <w:color w:val="auto"/>
        </w:rPr>
      </w:pPr>
    </w:p>
    <w:p>
      <w:pPr>
        <w:ind w:left="660" w:right="4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 Finkelstein, Vice President of Corporate Finance &amp; Strategy, will be presenting at The KeyBanc Capital Markets 21st Annual Technology Leadership Forum in Vail, CO on Monday, August 12, 2019 at 11:00 a.m. MT.</w:t>
      </w:r>
    </w:p>
    <w:p>
      <w:pPr>
        <w:spacing w:after="0" w:line="16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Ajay Vashee, Chief Financial Officer, will be presenting at Deutsche Bank’s 2019 Technology Conference in Las Vegas, NV on Tuesday, September 10, 2019 at 1:15 p.m. PT.</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Dropbox will be hosting an Analyst Day on Wednesday, September 25, 2019 in San Francisco.</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the time of these events, a live webcast will be accessible from the Dropbox investor relations website at investors.dropbox.com. Following the events, a replay will be made available at the same location.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Dropbox</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Dropbox is a leading global collaboration platform that's transforming the way people work together, from the smallest business to the largest enterprise. With more than 500 million registered users across 180 countries, our products are designed to establish a more enlightened way of working. Headquartered in San Francisco, CA, Dropbox has 12 offices around the world. For more information on our mission and products, visit dropbox.com.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including, among other things, statements regarding Dropbox's future operational performance, the demand for our platform and product features, and the benefits from new product experiences and acquisitions. Words such as "believe," "may," "will," "estimate," "continue," "anticipate," "intend," "expect," "plans," and similar expressions are intended to identify forward-looking statements. Dropbox has based these forward-looking statements largely on its current expectations and projections about future events and financial trends that the Company believes may affect its business, financial condition, and results of operations. These forward-looking statements speak only as of the date of this press release and are subject to risks, uncertainties, and assumptions including, but not limited to: (i) our ability to retain and upgrade paying users; (ii) our ability to attract new users or convert registered users to paying users; (iii) our revenue growth rate; (iv) our history of net losses; (v) our liability for any unauthorized access to our data or our users’ content, including through privacy and data security breaches; (vi) significant disruption of service on our platform or loss of content; (vii) any decline in demand for our platform or for content collaboration solutions in general; (viii) changes in the interoperability of our platform across devices, operating systems, and third-party applications that we do not control; (ix) competition in our markets; (x) our ability to respond to rapid technological changes, extend our platform, or develop new features; (xi) our ability to manage our growth or plan for future growth; (xii)</w:t>
      </w:r>
    </w:p>
    <w:p>
      <w:pPr>
        <w:spacing w:after="0" w:line="5" w:lineRule="exact"/>
        <w:rPr>
          <w:sz w:val="20"/>
          <w:szCs w:val="20"/>
          <w:color w:val="auto"/>
        </w:rPr>
      </w:pPr>
    </w:p>
    <w:p>
      <w:pPr>
        <w:ind w:right="760"/>
        <w:spacing w:after="0" w:line="260" w:lineRule="auto"/>
        <w:rPr>
          <w:sz w:val="20"/>
          <w:szCs w:val="20"/>
          <w:color w:val="auto"/>
        </w:rPr>
      </w:pPr>
      <w:r>
        <w:rPr>
          <w:rFonts w:ascii="Arial" w:cs="Arial" w:eastAsia="Arial" w:hAnsi="Arial"/>
          <w:sz w:val="18"/>
          <w:szCs w:val="18"/>
          <w:color w:val="auto"/>
        </w:rPr>
        <w:t>our acquisition of other businesses and the potential of such acquisitions to require significant management attention, disrupt our business, or dilute stockholder value; and (xiii) the dual class structure of our common stock and its effect of concentrating</w:t>
      </w:r>
    </w:p>
    <w:p>
      <w:pPr>
        <w:sectPr>
          <w:pgSz w:w="11900" w:h="16838" w:orient="portrait"/>
          <w:cols w:equalWidth="0" w:num="1">
            <w:col w:w="11380"/>
          </w:cols>
          <w:pgMar w:left="240" w:top="580" w:right="279" w:bottom="1440" w:gutter="0" w:footer="0" w:header="0"/>
        </w:sectPr>
      </w:pPr>
    </w:p>
    <w:bookmarkStart w:id="5" w:name="page6"/>
    <w:bookmarkEnd w:id="5"/>
    <w:p>
      <w:pPr>
        <w:spacing w:after="0" w:line="273" w:lineRule="auto"/>
        <w:rPr>
          <w:sz w:val="20"/>
          <w:szCs w:val="20"/>
          <w:color w:val="auto"/>
        </w:rPr>
      </w:pPr>
      <w:r>
        <w:rPr>
          <w:rFonts w:ascii="Arial" w:cs="Arial" w:eastAsia="Arial" w:hAnsi="Arial"/>
          <w:sz w:val="17"/>
          <w:szCs w:val="17"/>
          <w:color w:val="auto"/>
        </w:rPr>
        <w:t>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10-Q for the quarter ended March 31, 2019. Additional information will be made available in our quarterly report on Form 10-Q and other future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1420"/>
          </w:cols>
          <w:pgMar w:left="240" w:top="58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Dropbox,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i w:val="1"/>
          <w:iCs w:val="1"/>
          <w:color w:val="auto"/>
        </w:rPr>
        <w:t>(In millions, except per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88"/>
              </w:rPr>
              <w:t>Three months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4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June 30,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8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ind w:right="650"/>
              <w:spacing w:after="0"/>
              <w:rPr>
                <w:sz w:val="20"/>
                <w:szCs w:val="20"/>
                <w:color w:val="auto"/>
              </w:rPr>
            </w:pPr>
            <w:r>
              <w:rPr>
                <w:rFonts w:ascii="Arial" w:cs="Arial" w:eastAsia="Arial" w:hAnsi="Arial"/>
                <w:sz w:val="18"/>
                <w:szCs w:val="18"/>
                <w:b w:val="1"/>
                <w:bCs w:val="1"/>
                <w:color w:val="auto"/>
                <w:w w:val="94"/>
              </w:rPr>
              <w:t>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787.1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655.5</w:t>
            </w: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p>
        </w:tc>
        <w:tc>
          <w:tcPr>
            <w:tcW w:w="1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498.2</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1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36"/>
        </w:trPr>
        <w:tc>
          <w:tcPr>
            <w:tcW w:w="37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918.5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1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6"/>
        </w:trPr>
        <w:tc>
          <w:tcPr>
            <w:tcW w:w="37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1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6"/>
        </w:trPr>
        <w:tc>
          <w:tcPr>
            <w:tcW w:w="37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(469.6)</w:t>
            </w:r>
          </w:p>
        </w:tc>
        <w:tc>
          <w:tcPr>
            <w:tcW w:w="0" w:type="dxa"/>
            <w:vAlign w:val="bottom"/>
          </w:tcPr>
          <w:p>
            <w:pPr>
              <w:spacing w:after="0"/>
              <w:rPr>
                <w:sz w:val="1"/>
                <w:szCs w:val="1"/>
                <w:color w:val="auto"/>
              </w:rPr>
            </w:pPr>
          </w:p>
        </w:tc>
      </w:tr>
      <w:tr>
        <w:trPr>
          <w:trHeight w:val="67"/>
        </w:trPr>
        <w:tc>
          <w:tcPr>
            <w:tcW w:w="378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78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Net loss per share attributable to common</w:t>
            </w:r>
          </w:p>
        </w:tc>
        <w:tc>
          <w:tcPr>
            <w:tcW w:w="1120" w:type="dxa"/>
            <w:vAlign w:val="bottom"/>
            <w:vMerge w:val="restart"/>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stockholders, basic and diluted</w:t>
            </w: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w w:val="96"/>
              </w:rPr>
              <w:t>Weighted-average shares used in computing net</w:t>
            </w: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7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0"/>
              <w:spacing w:after="0"/>
              <w:rPr>
                <w:sz w:val="20"/>
                <w:szCs w:val="20"/>
                <w:color w:val="auto"/>
              </w:rPr>
            </w:pPr>
            <w:r>
              <w:rPr>
                <w:rFonts w:ascii="Arial" w:cs="Arial" w:eastAsia="Arial" w:hAnsi="Arial"/>
                <w:sz w:val="18"/>
                <w:szCs w:val="18"/>
                <w:color w:val="auto"/>
              </w:rPr>
              <w:t>loss per share attributable to common</w:t>
            </w:r>
          </w:p>
        </w:tc>
        <w:tc>
          <w:tcPr>
            <w:tcW w:w="1120" w:type="dxa"/>
            <w:vAlign w:val="bottom"/>
          </w:tcPr>
          <w:p>
            <w:pPr>
              <w:spacing w:after="0"/>
              <w:rPr>
                <w:sz w:val="18"/>
                <w:szCs w:val="18"/>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401.3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vMerge w:val="restart"/>
          </w:tcPr>
          <w:p>
            <w:pPr>
              <w:jc w:val="right"/>
              <w:ind w:right="30"/>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310.5</w:t>
            </w: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8"/>
                <w:szCs w:val="18"/>
                <w:color w:val="auto"/>
              </w:rPr>
              <w:t>stockholders, basic and diluted</w:t>
            </w:r>
          </w:p>
        </w:tc>
        <w:tc>
          <w:tcPr>
            <w:tcW w:w="1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200" w:hanging="192"/>
        <w:spacing w:after="0"/>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Includes stock-based compensation expense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8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89"/>
              </w:rPr>
              <w:t>Three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114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8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88"/>
              </w:rPr>
              <w:t>June 30,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1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37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ind w:right="65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3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310.8</w:t>
            </w:r>
          </w:p>
        </w:tc>
      </w:tr>
      <w:tr>
        <w:trPr>
          <w:trHeight w:val="27"/>
        </w:trPr>
        <w:tc>
          <w:tcPr>
            <w:tcW w:w="3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109.8</w:t>
            </w:r>
          </w:p>
        </w:tc>
      </w:tr>
    </w:tbl>
    <w:p>
      <w:pPr>
        <w:sectPr>
          <w:pgSz w:w="11900" w:h="16838" w:orient="portrait"/>
          <w:cols w:equalWidth="0" w:num="1">
            <w:col w:w="11420"/>
          </w:cols>
          <w:pgMar w:left="240" w:top="58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Dropbox,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ind w:left="5260"/>
        <w:spacing w:after="0"/>
        <w:rPr>
          <w:sz w:val="20"/>
          <w:szCs w:val="20"/>
          <w:color w:val="auto"/>
        </w:rPr>
      </w:pPr>
      <w:r>
        <w:rPr>
          <w:rFonts w:ascii="Arial" w:cs="Arial" w:eastAsia="Arial" w:hAnsi="Arial"/>
          <w:sz w:val="18"/>
          <w:szCs w:val="18"/>
          <w:i w:val="1"/>
          <w:iCs w:val="1"/>
          <w:color w:val="auto"/>
        </w:rPr>
        <w:t>(In millions)</w:t>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b w:val="1"/>
                <w:bCs w:val="1"/>
                <w:color w:val="auto"/>
              </w:rPr>
              <w:t>June 30, 2019</w:t>
            </w:r>
          </w:p>
        </w:tc>
        <w:tc>
          <w:tcPr>
            <w:tcW w:w="28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December 31, 2018</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519.3</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629.2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and other receivables, net</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1,210.2</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369.3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and other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Finance lease obligation</w:t>
            </w:r>
          </w:p>
        </w:tc>
        <w:tc>
          <w:tcPr>
            <w:tcW w:w="3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36"/>
        </w:trPr>
        <w:tc>
          <w:tcPr>
            <w:tcW w:w="67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903.1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liability, non-current</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Finance lease obligation, non-current</w:t>
            </w:r>
          </w:p>
        </w:tc>
        <w:tc>
          <w:tcPr>
            <w:tcW w:w="3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 non-current liabilities</w:t>
            </w:r>
            <w:r>
              <w:rPr>
                <w:rFonts w:ascii="Arial" w:cs="Arial" w:eastAsia="Arial" w:hAnsi="Arial"/>
                <w:sz w:val="25"/>
                <w:szCs w:val="25"/>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36"/>
        </w:trPr>
        <w:tc>
          <w:tcPr>
            <w:tcW w:w="67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20"/>
                <w:szCs w:val="20"/>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1,634.7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1,017.3</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2,428.4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(1,659.5)</w:t>
            </w: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676.8</w:t>
            </w:r>
          </w:p>
        </w:tc>
        <w:tc>
          <w:tcPr>
            <w:tcW w:w="0" w:type="dxa"/>
            <w:vAlign w:val="bottom"/>
          </w:tcPr>
          <w:p>
            <w:pPr>
              <w:spacing w:after="0"/>
              <w:rPr>
                <w:sz w:val="1"/>
                <w:szCs w:val="1"/>
                <w:color w:val="auto"/>
              </w:rPr>
            </w:pPr>
          </w:p>
        </w:tc>
      </w:tr>
      <w:tr>
        <w:trPr>
          <w:trHeight w:val="236"/>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2,364.9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1,694.1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500" w:firstLine="8"/>
        <w:spacing w:after="0" w:line="252" w:lineRule="auto"/>
        <w:tabs>
          <w:tab w:leader="none" w:pos="192"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As of December 31, 2018 the Company had non-current deferred rent of $81.0 million. As of June 30, 2019, deferred rent is now included in the determination of the Company's operating lease right-of-use asset due to the adoption of ASC 842.</w:t>
      </w:r>
    </w:p>
    <w:p>
      <w:pPr>
        <w:sectPr>
          <w:pgSz w:w="11900" w:h="16838" w:orient="portrait"/>
          <w:cols w:equalWidth="0" w:num="1">
            <w:col w:w="11420"/>
          </w:cols>
          <w:pgMar w:left="240" w:top="58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Dropbox,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ind w:left="5260"/>
        <w:spacing w:after="0"/>
        <w:rPr>
          <w:sz w:val="20"/>
          <w:szCs w:val="20"/>
          <w:color w:val="auto"/>
        </w:rPr>
      </w:pPr>
      <w:r>
        <w:rPr>
          <w:rFonts w:ascii="Arial" w:cs="Arial" w:eastAsia="Arial" w:hAnsi="Arial"/>
          <w:sz w:val="18"/>
          <w:szCs w:val="18"/>
          <w:i w:val="1"/>
          <w:iCs w:val="1"/>
          <w:color w:val="auto"/>
        </w:rPr>
        <w:t>(In millions)</w:t>
      </w:r>
    </w:p>
    <w:p>
      <w:pPr>
        <w:spacing w:after="0" w:line="7"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240" w:type="dxa"/>
            <w:vAlign w:val="bottom"/>
          </w:tcPr>
          <w:p>
            <w:pPr>
              <w:spacing w:after="0"/>
              <w:rPr>
                <w:sz w:val="17"/>
                <w:szCs w:val="17"/>
                <w:color w:val="auto"/>
              </w:rPr>
            </w:pPr>
          </w:p>
        </w:tc>
        <w:tc>
          <w:tcPr>
            <w:tcW w:w="2100" w:type="dxa"/>
            <w:vAlign w:val="bottom"/>
            <w:gridSpan w:val="4"/>
          </w:tcPr>
          <w:p>
            <w:pPr>
              <w:jc w:val="center"/>
              <w:ind w:right="139"/>
              <w:spacing w:after="0"/>
              <w:rPr>
                <w:sz w:val="20"/>
                <w:szCs w:val="20"/>
                <w:color w:val="auto"/>
              </w:rPr>
            </w:pPr>
            <w:r>
              <w:rPr>
                <w:rFonts w:ascii="Arial" w:cs="Arial" w:eastAsia="Arial" w:hAnsi="Arial"/>
                <w:sz w:val="16"/>
                <w:szCs w:val="16"/>
                <w:b w:val="1"/>
                <w:bCs w:val="1"/>
                <w:color w:val="auto"/>
                <w:w w:val="89"/>
              </w:rPr>
              <w:t>Six months ended</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center"/>
              <w:ind w:left="499"/>
              <w:spacing w:after="0"/>
              <w:rPr>
                <w:sz w:val="20"/>
                <w:szCs w:val="20"/>
                <w:color w:val="auto"/>
              </w:rPr>
            </w:pPr>
            <w:r>
              <w:rPr>
                <w:rFonts w:ascii="Arial" w:cs="Arial" w:eastAsia="Arial" w:hAnsi="Arial"/>
                <w:sz w:val="16"/>
                <w:szCs w:val="16"/>
                <w:b w:val="1"/>
                <w:bCs w:val="1"/>
                <w:color w:val="auto"/>
                <w:w w:val="90"/>
              </w:rPr>
              <w:t>June 30,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center"/>
              <w:ind w:left="499"/>
              <w:spacing w:after="0"/>
              <w:rPr>
                <w:sz w:val="20"/>
                <w:szCs w:val="20"/>
                <w:color w:val="auto"/>
              </w:rPr>
            </w:pPr>
            <w:r>
              <w:rPr>
                <w:rFonts w:ascii="Arial" w:cs="Arial" w:eastAsia="Arial" w:hAnsi="Arial"/>
                <w:sz w:val="16"/>
                <w:szCs w:val="16"/>
                <w:b w:val="1"/>
                <w:bCs w:val="1"/>
                <w:color w:val="auto"/>
                <w:w w:val="87"/>
              </w:rPr>
              <w:t>June 30,</w:t>
            </w:r>
          </w:p>
        </w:tc>
        <w:tc>
          <w:tcPr>
            <w:tcW w:w="80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(469.6)</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75.9</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541.6</w:t>
            </w: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Net gains on equity investments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deferred commissions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Trade and other receivables, net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Accrued and other current liabilities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44.5</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46.4</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r>
      <w:tr>
        <w:trPr>
          <w:trHeight w:val="237"/>
        </w:trPr>
        <w:tc>
          <w:tcPr>
            <w:tcW w:w="6520" w:type="dxa"/>
            <w:vAlign w:val="bottom"/>
          </w:tcPr>
          <w:p>
            <w:pPr>
              <w:ind w:left="280"/>
              <w:spacing w:after="0"/>
              <w:rPr>
                <w:sz w:val="20"/>
                <w:szCs w:val="20"/>
                <w:color w:val="auto"/>
              </w:rPr>
            </w:pPr>
            <w:r>
              <w:rPr>
                <w:rFonts w:ascii="Arial" w:cs="Arial" w:eastAsia="Arial" w:hAnsi="Arial"/>
                <w:sz w:val="16"/>
                <w:szCs w:val="16"/>
                <w:color w:val="auto"/>
              </w:rPr>
              <w:t>Tenant improvement allowance reimbursement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173.7</w:t>
            </w:r>
          </w:p>
        </w:tc>
      </w:tr>
      <w:tr>
        <w:trPr>
          <w:trHeight w:val="203"/>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Cash flow from investing activities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7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Capital expenditures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Business combinations,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Purchases of short-term investments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Proceeds from sales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Proceeds from maturities of short-term investments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83" w:lineRule="exact"/>
        <w:rPr>
          <w:sz w:val="20"/>
          <w:szCs w:val="20"/>
          <w:color w:val="auto"/>
        </w:rPr>
      </w:pPr>
    </w:p>
    <w:p>
      <w:pPr>
        <w:ind w:left="280"/>
        <w:spacing w:after="0" w:line="292" w:lineRule="auto"/>
        <w:rPr>
          <w:sz w:val="20"/>
          <w:szCs w:val="20"/>
          <w:color w:val="auto"/>
        </w:rPr>
      </w:pPr>
      <w:r>
        <w:rPr>
          <w:rFonts w:ascii="Arial" w:cs="Arial" w:eastAsia="Arial" w:hAnsi="Arial"/>
          <w:sz w:val="16"/>
          <w:szCs w:val="16"/>
          <w:color w:val="auto"/>
        </w:rPr>
        <w:t>Proceeds from initial public offering and private placement, net of underwriters' discounts and commissions</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Payments of deferred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Shares repurchased for tax withholdings on release of restricted stock</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Proceeds from issuance of common stock, net of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Principal payments on finance lease obligations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160" w:type="dxa"/>
            <w:vAlign w:val="bottom"/>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70"/>
        </w:trPr>
        <w:tc>
          <w:tcPr>
            <w:tcW w:w="116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(171.6)</w:t>
            </w:r>
          </w:p>
        </w:tc>
        <w:tc>
          <w:tcPr>
            <w:tcW w:w="10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160" w:type="dxa"/>
            <w:vAlign w:val="bottom"/>
          </w:tcPr>
          <w:p>
            <w:pPr>
              <w:jc w:val="right"/>
              <w:spacing w:after="0"/>
              <w:rPr>
                <w:sz w:val="20"/>
                <w:szCs w:val="20"/>
                <w:color w:val="auto"/>
              </w:rPr>
            </w:pPr>
            <w:r>
              <w:rPr>
                <w:rFonts w:ascii="Arial" w:cs="Arial" w:eastAsia="Arial" w:hAnsi="Arial"/>
                <w:sz w:val="16"/>
                <w:szCs w:val="16"/>
                <w:color w:val="auto"/>
              </w:rPr>
              <w:t>(236.7)</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(315.1)</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(389.7)</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(495.9)</w:t>
            </w:r>
          </w:p>
        </w:tc>
      </w:tr>
      <w:tr>
        <w:trPr>
          <w:trHeight w:val="270"/>
        </w:trPr>
        <w:tc>
          <w:tcPr>
            <w:tcW w:w="1160" w:type="dxa"/>
            <w:vAlign w:val="bottom"/>
          </w:tcPr>
          <w:p>
            <w:pPr>
              <w:jc w:val="right"/>
              <w:ind w:right="39"/>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181.0</w:t>
            </w:r>
          </w:p>
        </w:tc>
        <w:tc>
          <w:tcPr>
            <w:tcW w:w="10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270"/>
        </w:trPr>
        <w:tc>
          <w:tcPr>
            <w:tcW w:w="1160" w:type="dxa"/>
            <w:vAlign w:val="bottom"/>
          </w:tcPr>
          <w:p>
            <w:pPr>
              <w:jc w:val="right"/>
              <w:ind w:right="39"/>
              <w:spacing w:after="0"/>
              <w:rPr>
                <w:sz w:val="20"/>
                <w:szCs w:val="20"/>
                <w:color w:val="auto"/>
              </w:rPr>
            </w:pPr>
            <w:r>
              <w:rPr>
                <w:rFonts w:ascii="Arial" w:cs="Arial" w:eastAsia="Arial" w:hAnsi="Arial"/>
                <w:sz w:val="16"/>
                <w:szCs w:val="16"/>
                <w:color w:val="auto"/>
              </w:rPr>
              <w:t>95.0</w:t>
            </w:r>
          </w:p>
        </w:tc>
        <w:tc>
          <w:tcPr>
            <w:tcW w:w="12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161.6</w:t>
            </w:r>
          </w:p>
        </w:tc>
        <w:tc>
          <w:tcPr>
            <w:tcW w:w="10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16.4</w:t>
            </w:r>
          </w:p>
        </w:tc>
      </w:tr>
      <w:tr>
        <w:trPr>
          <w:trHeight w:val="270"/>
        </w:trPr>
        <w:tc>
          <w:tcPr>
            <w:tcW w:w="116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1160" w:type="dxa"/>
            <w:vAlign w:val="bottom"/>
          </w:tcPr>
          <w:p>
            <w:pPr>
              <w:jc w:val="right"/>
              <w:spacing w:after="0"/>
              <w:rPr>
                <w:sz w:val="20"/>
                <w:szCs w:val="20"/>
                <w:color w:val="auto"/>
              </w:rPr>
            </w:pPr>
            <w:r>
              <w:rPr>
                <w:rFonts w:ascii="Arial" w:cs="Arial" w:eastAsia="Arial" w:hAnsi="Arial"/>
                <w:sz w:val="16"/>
                <w:szCs w:val="16"/>
                <w:color w:val="auto"/>
              </w:rPr>
              <w:t>(97.2)</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(304.5)</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(270.5)</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(497.6)</w:t>
            </w: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689"/>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108.4</w:t>
            </w:r>
          </w:p>
        </w:tc>
        <w:tc>
          <w:tcPr>
            <w:tcW w:w="1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746.6</w:t>
            </w: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70"/>
        </w:trPr>
        <w:tc>
          <w:tcPr>
            <w:tcW w:w="116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(282.4)</w:t>
            </w:r>
          </w:p>
        </w:tc>
      </w:tr>
      <w:tr>
        <w:trPr>
          <w:trHeight w:val="270"/>
        </w:trPr>
        <w:tc>
          <w:tcPr>
            <w:tcW w:w="11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0"/>
        </w:trPr>
        <w:tc>
          <w:tcPr>
            <w:tcW w:w="116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(58.3)</w:t>
            </w:r>
          </w:p>
        </w:tc>
      </w:tr>
      <w:tr>
        <w:trPr>
          <w:trHeight w:val="270"/>
        </w:trPr>
        <w:tc>
          <w:tcPr>
            <w:tcW w:w="116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w:t>
            </w:r>
          </w:p>
        </w:tc>
      </w:tr>
    </w:tbl>
    <w:p>
      <w:pPr>
        <w:spacing w:after="0" w:line="13" w:lineRule="exact"/>
        <w:rPr>
          <w:sz w:val="20"/>
          <w:szCs w:val="20"/>
          <w:color w:val="auto"/>
        </w:rPr>
      </w:pPr>
    </w:p>
    <w:p>
      <w:pPr>
        <w:sectPr>
          <w:pgSz w:w="11900" w:h="16838" w:orient="portrait"/>
          <w:cols w:equalWidth="0" w:num="2">
            <w:col w:w="6380" w:space="140"/>
            <w:col w:w="4900"/>
          </w:cols>
          <w:pgMar w:left="240" w:top="584"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400" w:type="dxa"/>
            <w:vAlign w:val="bottom"/>
            <w:tcBorders>
              <w:top w:val="single" w:sz="8" w:color="auto"/>
              <w:bottom w:val="single" w:sz="8" w:color="CCEEFF"/>
            </w:tcBorders>
            <w:shd w:val="clear" w:color="auto" w:fill="CCEEFF"/>
          </w:tcPr>
          <w:p>
            <w:pPr>
              <w:spacing w:after="0"/>
              <w:rPr>
                <w:sz w:val="23"/>
                <w:szCs w:val="23"/>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spacing w:after="0"/>
              <w:rPr>
                <w:sz w:val="23"/>
                <w:szCs w:val="23"/>
                <w:color w:val="auto"/>
              </w:rPr>
            </w:pP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spacing w:after="0"/>
              <w:rPr>
                <w:sz w:val="23"/>
                <w:szCs w:val="23"/>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CCEEFF"/>
            </w:tcBorders>
            <w:shd w:val="clear" w:color="auto" w:fill="CCEEFF"/>
          </w:tcPr>
          <w:p>
            <w:pPr>
              <w:spacing w:after="0"/>
              <w:rPr>
                <w:sz w:val="23"/>
                <w:szCs w:val="23"/>
                <w:color w:val="auto"/>
              </w:rPr>
            </w:pP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399.4</w:t>
            </w: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6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cash and cash equivalents</w:t>
            </w: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equivalents—beginning of period</w:t>
            </w:r>
          </w:p>
        </w:tc>
        <w:tc>
          <w:tcPr>
            <w:tcW w:w="4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359.2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665.3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519.3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430.0</w:t>
            </w:r>
          </w:p>
        </w:tc>
      </w:tr>
      <w:tr>
        <w:trPr>
          <w:trHeight w:val="33"/>
        </w:trPr>
        <w:tc>
          <w:tcPr>
            <w:tcW w:w="6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equivalents—end of period</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data:</w:t>
            </w:r>
          </w:p>
        </w:tc>
        <w:tc>
          <w:tcPr>
            <w:tcW w:w="4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r>
      <w:tr>
        <w:trPr>
          <w:trHeight w:val="217"/>
        </w:trPr>
        <w:tc>
          <w:tcPr>
            <w:tcW w:w="6520" w:type="dxa"/>
            <w:vAlign w:val="bottom"/>
          </w:tcPr>
          <w:p>
            <w:pPr>
              <w:ind w:left="280"/>
              <w:spacing w:after="0"/>
              <w:rPr>
                <w:sz w:val="20"/>
                <w:szCs w:val="20"/>
                <w:color w:val="auto"/>
              </w:rPr>
            </w:pPr>
            <w:r>
              <w:rPr>
                <w:rFonts w:ascii="Arial" w:cs="Arial" w:eastAsia="Arial" w:hAnsi="Arial"/>
                <w:sz w:val="16"/>
                <w:szCs w:val="16"/>
                <w:color w:val="auto"/>
              </w:rPr>
              <w:t>Property and equipment acquired under finance leases</w:t>
            </w: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44.2</w:t>
            </w:r>
          </w:p>
        </w:tc>
      </w:tr>
      <w:tr>
        <w:trPr>
          <w:trHeight w:val="33"/>
        </w:trPr>
        <w:tc>
          <w:tcPr>
            <w:tcW w:w="6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84"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Three months ended June 30, 2019</w:t>
      </w:r>
    </w:p>
    <w:p>
      <w:pPr>
        <w:jc w:val="center"/>
        <w:spacing w:after="0"/>
        <w:rPr>
          <w:sz w:val="20"/>
          <w:szCs w:val="20"/>
          <w:color w:val="auto"/>
        </w:rPr>
      </w:pPr>
      <w:r>
        <w:rPr>
          <w:rFonts w:ascii="Arial" w:cs="Arial" w:eastAsia="Arial" w:hAnsi="Arial"/>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Stock-based</w:t>
            </w:r>
          </w:p>
        </w:tc>
        <w:tc>
          <w:tcPr>
            <w:tcW w:w="1780" w:type="dxa"/>
            <w:vAlign w:val="bottom"/>
            <w:gridSpan w:val="3"/>
          </w:tcPr>
          <w:p>
            <w:pPr>
              <w:ind w:left="100"/>
              <w:spacing w:after="0"/>
              <w:rPr>
                <w:sz w:val="20"/>
                <w:szCs w:val="20"/>
                <w:color w:val="auto"/>
              </w:rPr>
            </w:pPr>
            <w:r>
              <w:rPr>
                <w:rFonts w:ascii="Arial" w:cs="Arial" w:eastAsia="Arial" w:hAnsi="Arial"/>
                <w:sz w:val="18"/>
                <w:szCs w:val="18"/>
                <w:b w:val="1"/>
                <w:bCs w:val="1"/>
                <w:color w:val="auto"/>
              </w:rPr>
              <w:t>Acquisition-related</w:t>
            </w:r>
          </w:p>
        </w:tc>
        <w:tc>
          <w:tcPr>
            <w:tcW w:w="2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Intangibles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2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ind w:left="220"/>
              <w:spacing w:after="0"/>
              <w:rPr>
                <w:sz w:val="20"/>
                <w:szCs w:val="20"/>
                <w:color w:val="auto"/>
              </w:rPr>
            </w:pPr>
            <w:r>
              <w:rPr>
                <w:rFonts w:ascii="Arial" w:cs="Arial" w:eastAsia="Arial" w:hAnsi="Arial"/>
                <w:sz w:val="18"/>
                <w:szCs w:val="18"/>
                <w:b w:val="1"/>
                <w:bCs w:val="1"/>
                <w:color w:val="auto"/>
              </w:rPr>
              <w:t>GAAP</w:t>
            </w:r>
          </w:p>
        </w:tc>
        <w:tc>
          <w:tcPr>
            <w:tcW w:w="20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compensation</w:t>
            </w:r>
          </w:p>
        </w:tc>
        <w:tc>
          <w:tcPr>
            <w:tcW w:w="1780" w:type="dxa"/>
            <w:vAlign w:val="bottom"/>
            <w:gridSpan w:val="3"/>
          </w:tcPr>
          <w:p>
            <w:pPr>
              <w:ind w:left="120"/>
              <w:spacing w:after="0"/>
              <w:rPr>
                <w:sz w:val="20"/>
                <w:szCs w:val="20"/>
                <w:color w:val="auto"/>
              </w:rPr>
            </w:pPr>
            <w:r>
              <w:rPr>
                <w:rFonts w:ascii="Arial" w:cs="Arial" w:eastAsia="Arial" w:hAnsi="Arial"/>
                <w:sz w:val="18"/>
                <w:szCs w:val="18"/>
                <w:b w:val="1"/>
                <w:bCs w:val="1"/>
                <w:color w:val="auto"/>
                <w:w w:val="96"/>
              </w:rPr>
              <w:t>and other expenses</w:t>
            </w:r>
          </w:p>
        </w:tc>
        <w:tc>
          <w:tcPr>
            <w:tcW w:w="24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amortization</w:t>
            </w:r>
          </w:p>
        </w:tc>
        <w:tc>
          <w:tcPr>
            <w:tcW w:w="24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Non-GAAP</w:t>
            </w:r>
          </w:p>
        </w:tc>
      </w:tr>
      <w:tr>
        <w:trPr>
          <w:trHeight w:val="27"/>
        </w:trPr>
        <w:tc>
          <w:tcPr>
            <w:tcW w:w="2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Cost of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97.3</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25.6 %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304.2</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74.4 %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75.8%</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120.6</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i w:val="1"/>
                <w:iCs w:val="1"/>
                <w:color w:val="auto"/>
                <w:w w:val="94"/>
              </w:rPr>
              <w:t>Research and development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40.4 %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97.1</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26.7 %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46.0</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i w:val="1"/>
                <w:iCs w:val="1"/>
                <w:color w:val="auto"/>
                <w:w w:val="96"/>
              </w:rPr>
              <w:t>General and administrative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154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40.5</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17.1 %</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Three months ended June 30, 2018</w:t>
      </w:r>
    </w:p>
    <w:p>
      <w:pPr>
        <w:jc w:val="center"/>
        <w:spacing w:after="0"/>
        <w:rPr>
          <w:sz w:val="20"/>
          <w:szCs w:val="20"/>
          <w:color w:val="auto"/>
        </w:rPr>
      </w:pPr>
      <w:r>
        <w:rPr>
          <w:rFonts w:ascii="Arial" w:cs="Arial" w:eastAsia="Arial" w:hAnsi="Arial"/>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rPr>
              <w:t>GAAP</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Stock-based compensation</w:t>
            </w:r>
          </w:p>
        </w:tc>
        <w:tc>
          <w:tcPr>
            <w:tcW w:w="440" w:type="dxa"/>
            <w:vAlign w:val="bottom"/>
          </w:tcPr>
          <w:p>
            <w:pPr>
              <w:spacing w:after="0"/>
              <w:rPr>
                <w:sz w:val="20"/>
                <w:szCs w:val="20"/>
                <w:color w:val="auto"/>
              </w:rPr>
            </w:pPr>
          </w:p>
        </w:tc>
        <w:tc>
          <w:tcPr>
            <w:tcW w:w="1960" w:type="dxa"/>
            <w:vAlign w:val="bottom"/>
          </w:tcPr>
          <w:p>
            <w:pPr>
              <w:jc w:val="right"/>
              <w:ind w:right="670"/>
              <w:spacing w:after="0"/>
              <w:rPr>
                <w:sz w:val="20"/>
                <w:szCs w:val="20"/>
                <w:color w:val="auto"/>
              </w:rPr>
            </w:pPr>
            <w:r>
              <w:rPr>
                <w:rFonts w:ascii="Arial" w:cs="Arial" w:eastAsia="Arial" w:hAnsi="Arial"/>
                <w:sz w:val="18"/>
                <w:szCs w:val="18"/>
                <w:b w:val="1"/>
                <w:bCs w:val="1"/>
                <w:color w:val="auto"/>
              </w:rPr>
              <w:t>Non-GAAP</w:t>
            </w:r>
          </w:p>
        </w:tc>
      </w:tr>
      <w:tr>
        <w:trPr>
          <w:trHeight w:val="27"/>
        </w:trPr>
        <w:tc>
          <w:tcPr>
            <w:tcW w:w="38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3"/>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revenue</w:t>
            </w:r>
          </w:p>
        </w:tc>
        <w:tc>
          <w:tcPr>
            <w:tcW w:w="1660" w:type="dxa"/>
            <w:vAlign w:val="bottom"/>
            <w:tcBorders>
              <w:bottom w:val="single" w:sz="8" w:color="CCEEFF"/>
            </w:tcBorders>
            <w:shd w:val="clear" w:color="auto" w:fill="CCEEFF"/>
          </w:tcPr>
          <w:p>
            <w:pPr>
              <w:jc w:val="right"/>
              <w:ind w:right="14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86.6</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i w:val="1"/>
                <w:iCs w:val="1"/>
                <w:color w:val="auto"/>
              </w:rPr>
              <w:t>Cost of revenue margin</w:t>
            </w:r>
          </w:p>
        </w:tc>
        <w:tc>
          <w:tcPr>
            <w:tcW w:w="1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3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252.6</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i w:val="1"/>
                <w:iCs w:val="1"/>
                <w:color w:val="auto"/>
              </w:rPr>
              <w:t>Gross margin</w:t>
            </w:r>
          </w:p>
        </w:tc>
        <w:tc>
          <w:tcPr>
            <w:tcW w:w="1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73.6 %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7"/>
        </w:trPr>
        <w:tc>
          <w:tcPr>
            <w:tcW w:w="3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91.8</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i w:val="1"/>
                <w:iCs w:val="1"/>
                <w:color w:val="auto"/>
              </w:rPr>
              <w:t>Research and development margin</w:t>
            </w:r>
          </w:p>
        </w:tc>
        <w:tc>
          <w:tcPr>
            <w:tcW w:w="1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7"/>
        </w:trPr>
        <w:tc>
          <w:tcPr>
            <w:tcW w:w="3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6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79.5</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i w:val="1"/>
                <w:iCs w:val="1"/>
                <w:color w:val="auto"/>
              </w:rPr>
              <w:t>Sales and marketing margin</w:t>
            </w:r>
          </w:p>
        </w:tc>
        <w:tc>
          <w:tcPr>
            <w:tcW w:w="1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3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6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33.4</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i w:val="1"/>
                <w:iCs w:val="1"/>
                <w:color w:val="auto"/>
              </w:rPr>
              <w:t>General and administrative margin</w:t>
            </w:r>
          </w:p>
        </w:tc>
        <w:tc>
          <w:tcPr>
            <w:tcW w:w="1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3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660" w:type="dxa"/>
            <w:vAlign w:val="bottom"/>
            <w:tcBorders>
              <w:bottom w:val="single" w:sz="8" w:color="CCEEFF"/>
            </w:tcBorders>
            <w:shd w:val="clear" w:color="auto" w:fill="CCEEFF"/>
          </w:tcPr>
          <w:p>
            <w:pPr>
              <w:jc w:val="right"/>
              <w:ind w:right="14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47.9</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i w:val="1"/>
                <w:iCs w:val="1"/>
                <w:color w:val="auto"/>
              </w:rPr>
              <w:t>Operating margin</w:t>
            </w:r>
          </w:p>
        </w:tc>
        <w:tc>
          <w:tcPr>
            <w:tcW w:w="1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14.1%</w:t>
            </w:r>
          </w:p>
        </w:tc>
      </w:tr>
    </w:tbl>
    <w:p>
      <w:pPr>
        <w:sectPr>
          <w:pgSz w:w="11900" w:h="16838" w:orient="portrait"/>
          <w:cols w:equalWidth="0" w:num="1">
            <w:col w:w="11420"/>
          </w:cols>
          <w:pgMar w:left="240" w:top="57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Six months ended June 30, 2019</w:t>
      </w:r>
    </w:p>
    <w:p>
      <w:pPr>
        <w:jc w:val="center"/>
        <w:spacing w:after="0"/>
        <w:rPr>
          <w:sz w:val="20"/>
          <w:szCs w:val="20"/>
          <w:color w:val="auto"/>
        </w:rPr>
      </w:pPr>
      <w:r>
        <w:rPr>
          <w:rFonts w:ascii="Arial" w:cs="Arial" w:eastAsia="Arial" w:hAnsi="Arial"/>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Stock-based</w:t>
            </w:r>
          </w:p>
        </w:tc>
        <w:tc>
          <w:tcPr>
            <w:tcW w:w="1780" w:type="dxa"/>
            <w:vAlign w:val="bottom"/>
            <w:gridSpan w:val="3"/>
          </w:tcPr>
          <w:p>
            <w:pPr>
              <w:ind w:left="100"/>
              <w:spacing w:after="0"/>
              <w:rPr>
                <w:sz w:val="20"/>
                <w:szCs w:val="20"/>
                <w:color w:val="auto"/>
              </w:rPr>
            </w:pPr>
            <w:r>
              <w:rPr>
                <w:rFonts w:ascii="Arial" w:cs="Arial" w:eastAsia="Arial" w:hAnsi="Arial"/>
                <w:sz w:val="18"/>
                <w:szCs w:val="18"/>
                <w:b w:val="1"/>
                <w:bCs w:val="1"/>
                <w:color w:val="auto"/>
              </w:rPr>
              <w:t>Acquisition-related</w:t>
            </w:r>
          </w:p>
        </w:tc>
        <w:tc>
          <w:tcPr>
            <w:tcW w:w="2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Intangibles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2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ind w:left="220"/>
              <w:spacing w:after="0"/>
              <w:rPr>
                <w:sz w:val="20"/>
                <w:szCs w:val="20"/>
                <w:color w:val="auto"/>
              </w:rPr>
            </w:pPr>
            <w:r>
              <w:rPr>
                <w:rFonts w:ascii="Arial" w:cs="Arial" w:eastAsia="Arial" w:hAnsi="Arial"/>
                <w:sz w:val="18"/>
                <w:szCs w:val="18"/>
                <w:b w:val="1"/>
                <w:bCs w:val="1"/>
                <w:color w:val="auto"/>
              </w:rPr>
              <w:t>GAAP</w:t>
            </w:r>
          </w:p>
        </w:tc>
        <w:tc>
          <w:tcPr>
            <w:tcW w:w="20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compensation</w:t>
            </w:r>
          </w:p>
        </w:tc>
        <w:tc>
          <w:tcPr>
            <w:tcW w:w="1780" w:type="dxa"/>
            <w:vAlign w:val="bottom"/>
            <w:gridSpan w:val="3"/>
          </w:tcPr>
          <w:p>
            <w:pPr>
              <w:ind w:left="120"/>
              <w:spacing w:after="0"/>
              <w:rPr>
                <w:sz w:val="20"/>
                <w:szCs w:val="20"/>
                <w:color w:val="auto"/>
              </w:rPr>
            </w:pPr>
            <w:r>
              <w:rPr>
                <w:rFonts w:ascii="Arial" w:cs="Arial" w:eastAsia="Arial" w:hAnsi="Arial"/>
                <w:sz w:val="18"/>
                <w:szCs w:val="18"/>
                <w:b w:val="1"/>
                <w:bCs w:val="1"/>
                <w:color w:val="auto"/>
                <w:w w:val="96"/>
              </w:rPr>
              <w:t>and other expenses</w:t>
            </w:r>
          </w:p>
        </w:tc>
        <w:tc>
          <w:tcPr>
            <w:tcW w:w="24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amortization</w:t>
            </w:r>
          </w:p>
        </w:tc>
        <w:tc>
          <w:tcPr>
            <w:tcW w:w="24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Non-GAAP</w:t>
            </w:r>
          </w:p>
        </w:tc>
      </w:tr>
      <w:tr>
        <w:trPr>
          <w:trHeight w:val="27"/>
        </w:trPr>
        <w:tc>
          <w:tcPr>
            <w:tcW w:w="2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Cost of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192.1</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25.6 %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585.8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595.0</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74.4 %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237.8</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i w:val="1"/>
                <w:iCs w:val="1"/>
                <w:color w:val="auto"/>
                <w:w w:val="94"/>
              </w:rPr>
              <w:t>Research and development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39.7 %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190.7</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26.5 %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87.0</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i w:val="1"/>
                <w:iCs w:val="1"/>
                <w:color w:val="auto"/>
                <w:w w:val="96"/>
              </w:rPr>
              <w:t>General and administrative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79.5</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15.7 %</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Six months ended June 30, 2018</w:t>
      </w:r>
    </w:p>
    <w:p>
      <w:pPr>
        <w:jc w:val="center"/>
        <w:spacing w:after="0"/>
        <w:rPr>
          <w:sz w:val="20"/>
          <w:szCs w:val="20"/>
          <w:color w:val="auto"/>
        </w:rPr>
      </w:pPr>
      <w:r>
        <w:rPr>
          <w:rFonts w:ascii="Arial" w:cs="Arial" w:eastAsia="Arial" w:hAnsi="Arial"/>
          <w:sz w:val="20"/>
          <w:szCs w:val="20"/>
          <w:b w:val="1"/>
          <w:bCs w:val="1"/>
          <w:color w:val="auto"/>
        </w:rPr>
        <w:t>Reconciliation of GAAP to Non-GAAP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Employer payroll</w:t>
            </w: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Stock-based</w:t>
            </w:r>
          </w:p>
        </w:tc>
        <w:tc>
          <w:tcPr>
            <w:tcW w:w="20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taxes related to the</w:t>
            </w: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GAAP</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compensation</w:t>
            </w:r>
          </w:p>
        </w:tc>
        <w:tc>
          <w:tcPr>
            <w:tcW w:w="2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release of two-tier RSUs</w:t>
            </w:r>
          </w:p>
        </w:tc>
        <w:tc>
          <w:tcPr>
            <w:tcW w:w="300" w:type="dxa"/>
            <w:vAlign w:val="bottom"/>
          </w:tcPr>
          <w:p>
            <w:pPr>
              <w:spacing w:after="0"/>
              <w:rPr>
                <w:sz w:val="20"/>
                <w:szCs w:val="20"/>
                <w:color w:val="auto"/>
              </w:rPr>
            </w:pPr>
          </w:p>
        </w:tc>
        <w:tc>
          <w:tcPr>
            <w:tcW w:w="1620" w:type="dxa"/>
            <w:vAlign w:val="bottom"/>
          </w:tcPr>
          <w:p>
            <w:pPr>
              <w:jc w:val="right"/>
              <w:ind w:right="430"/>
              <w:spacing w:after="0"/>
              <w:rPr>
                <w:sz w:val="20"/>
                <w:szCs w:val="20"/>
                <w:color w:val="auto"/>
              </w:rPr>
            </w:pPr>
            <w:r>
              <w:rPr>
                <w:rFonts w:ascii="Arial" w:cs="Arial" w:eastAsia="Arial" w:hAnsi="Arial"/>
                <w:sz w:val="18"/>
                <w:szCs w:val="18"/>
                <w:b w:val="1"/>
                <w:bCs w:val="1"/>
                <w:color w:val="auto"/>
              </w:rPr>
              <w:t>Non-GAAP</w:t>
            </w:r>
          </w:p>
        </w:tc>
      </w:tr>
      <w:tr>
        <w:trPr>
          <w:trHeight w:val="27"/>
        </w:trPr>
        <w:tc>
          <w:tcPr>
            <w:tcW w:w="31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revenue</w:t>
            </w: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168.3</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Cost of revenue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32.1 %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487.2</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Gross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67.9 %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6.2 %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179.1</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Research and development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76.0 %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161.9</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Sales and marketing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37.3 %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63.8</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General and administrative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26.8 %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3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1"/>
              </w:rPr>
              <w:t>(473.1)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541.6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82.4</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i w:val="1"/>
                <w:iCs w:val="1"/>
                <w:color w:val="auto"/>
              </w:rPr>
              <w:t>Operating margin</w:t>
            </w:r>
          </w:p>
        </w:tc>
        <w:tc>
          <w:tcPr>
            <w:tcW w:w="1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82.6 %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12.6%</w:t>
            </w:r>
          </w:p>
        </w:tc>
      </w:tr>
    </w:tbl>
    <w:p>
      <w:pPr>
        <w:sectPr>
          <w:pgSz w:w="11900" w:h="16838" w:orient="portrait"/>
          <w:cols w:equalWidth="0" w:num="1">
            <w:col w:w="11420"/>
          </w:cols>
          <w:pgMar w:left="240" w:top="79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Three and six months ended June 30, 2019 and 2018</w:t>
      </w:r>
    </w:p>
    <w:p>
      <w:pPr>
        <w:jc w:val="center"/>
        <w:spacing w:after="0"/>
        <w:rPr>
          <w:sz w:val="20"/>
          <w:szCs w:val="20"/>
          <w:color w:val="auto"/>
        </w:rPr>
      </w:pPr>
      <w:r>
        <w:rPr>
          <w:rFonts w:ascii="Arial" w:cs="Arial" w:eastAsia="Arial" w:hAnsi="Arial"/>
          <w:sz w:val="20"/>
          <w:szCs w:val="20"/>
          <w:b w:val="1"/>
          <w:bCs w:val="1"/>
          <w:color w:val="auto"/>
        </w:rPr>
        <w:t>Reconciliation of GAAP net loss to Non-GAAP net income and Non-GAAP diluted net income per share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28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loss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(469.6)</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123.7</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541.6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and other expenses</w:t>
            </w: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Amortization of acquired intangible assets</w:t>
            </w:r>
          </w:p>
        </w:tc>
        <w:tc>
          <w:tcPr>
            <w:tcW w:w="10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gains on equity investments</w:t>
            </w: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w w:val="93"/>
              </w:rPr>
              <w:t>Employer payroll taxes related to the release of two-tier RSUs</w:t>
            </w:r>
          </w:p>
        </w:tc>
        <w:tc>
          <w:tcPr>
            <w:tcW w:w="10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effects of non-GAAP adjustments</w:t>
            </w:r>
          </w:p>
        </w:tc>
        <w:tc>
          <w:tcPr>
            <w:tcW w:w="10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9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net income</w:t>
            </w: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diluted net income per share</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40"/>
              <w:spacing w:after="0"/>
              <w:rPr>
                <w:sz w:val="20"/>
                <w:szCs w:val="20"/>
                <w:color w:val="auto"/>
              </w:rPr>
            </w:pPr>
            <w:r>
              <w:rPr>
                <w:rFonts w:ascii="Arial" w:cs="Arial" w:eastAsia="Arial" w:hAnsi="Arial"/>
                <w:sz w:val="18"/>
                <w:szCs w:val="18"/>
                <w:color w:val="auto"/>
                <w:w w:val="93"/>
              </w:rPr>
              <w:t>Weighted-average shares used to compute Non-GAAP diluted</w:t>
            </w: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68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vMerge w:val="restart"/>
          </w:tcPr>
          <w:p>
            <w:pPr>
              <w:jc w:val="right"/>
              <w:ind w:right="30"/>
              <w:spacing w:after="0"/>
              <w:rPr>
                <w:sz w:val="20"/>
                <w:szCs w:val="20"/>
                <w:color w:val="auto"/>
              </w:rPr>
            </w:pPr>
            <w:r>
              <w:rPr>
                <w:rFonts w:ascii="Arial" w:cs="Arial" w:eastAsia="Arial" w:hAnsi="Arial"/>
                <w:sz w:val="18"/>
                <w:szCs w:val="18"/>
                <w:color w:val="auto"/>
                <w:w w:val="97"/>
              </w:rPr>
              <w:t>418.7</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vMerge w:val="restart"/>
          </w:tcPr>
          <w:p>
            <w:pPr>
              <w:jc w:val="right"/>
              <w:ind w:right="10"/>
              <w:spacing w:after="0"/>
              <w:rPr>
                <w:sz w:val="20"/>
                <w:szCs w:val="20"/>
                <w:color w:val="auto"/>
              </w:rPr>
            </w:pPr>
            <w:r>
              <w:rPr>
                <w:rFonts w:ascii="Arial" w:cs="Arial" w:eastAsia="Arial" w:hAnsi="Arial"/>
                <w:sz w:val="18"/>
                <w:szCs w:val="18"/>
                <w:color w:val="auto"/>
                <w:w w:val="88"/>
              </w:rPr>
              <w:t>423.1</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8"/>
                <w:szCs w:val="18"/>
                <w:color w:val="auto"/>
                <w:w w:val="97"/>
              </w:rPr>
              <w:t>418.1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net income per share</w:t>
            </w:r>
          </w:p>
        </w:tc>
        <w:tc>
          <w:tcPr>
            <w:tcW w:w="10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Dropbox,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Three and six months ended June 30, 2019 and 2018</w:t>
      </w:r>
    </w:p>
    <w:p>
      <w:pPr>
        <w:jc w:val="center"/>
        <w:spacing w:after="0"/>
        <w:rPr>
          <w:sz w:val="20"/>
          <w:szCs w:val="20"/>
          <w:color w:val="auto"/>
        </w:rPr>
      </w:pPr>
      <w:r>
        <w:rPr>
          <w:rFonts w:ascii="Arial" w:cs="Arial" w:eastAsia="Arial" w:hAnsi="Arial"/>
          <w:sz w:val="20"/>
          <w:szCs w:val="20"/>
          <w:b w:val="1"/>
          <w:bCs w:val="1"/>
          <w:color w:val="auto"/>
        </w:rPr>
        <w:t>Reconciliation of free cash flow and supplemental cash flow disclosure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3500" w:type="dxa"/>
            <w:vAlign w:val="bottom"/>
            <w:gridSpan w:val="6"/>
          </w:tcPr>
          <w:p>
            <w:pPr>
              <w:ind w:left="58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0"/>
                <w:szCs w:val="20"/>
                <w:color w:val="auto"/>
              </w:rPr>
            </w:pPr>
          </w:p>
        </w:tc>
        <w:tc>
          <w:tcPr>
            <w:tcW w:w="30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5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 reconciliation:</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128.8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10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128.6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20" w:type="dxa"/>
            <w:vAlign w:val="bottom"/>
          </w:tcPr>
          <w:p>
            <w:pPr>
              <w:ind w:left="40"/>
              <w:spacing w:after="0"/>
              <w:rPr>
                <w:sz w:val="20"/>
                <w:szCs w:val="20"/>
                <w:color w:val="auto"/>
              </w:rPr>
            </w:pPr>
            <w:r>
              <w:rPr>
                <w:rFonts w:ascii="Arial" w:cs="Arial" w:eastAsia="Arial" w:hAnsi="Arial"/>
                <w:sz w:val="18"/>
                <w:szCs w:val="18"/>
                <w:i w:val="1"/>
                <w:iCs w:val="1"/>
                <w:color w:val="auto"/>
              </w:rPr>
              <w:t>Free cash flow margin</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520" w:type="dxa"/>
            <w:vAlign w:val="bottom"/>
          </w:tcPr>
          <w:p>
            <w:pPr>
              <w:ind w:left="280"/>
              <w:spacing w:after="0"/>
              <w:rPr>
                <w:sz w:val="20"/>
                <w:szCs w:val="20"/>
                <w:color w:val="auto"/>
              </w:rPr>
            </w:pPr>
            <w:r>
              <w:rPr>
                <w:rFonts w:ascii="Arial" w:cs="Arial" w:eastAsia="Arial" w:hAnsi="Arial"/>
                <w:sz w:val="18"/>
                <w:szCs w:val="18"/>
                <w:color w:val="auto"/>
              </w:rPr>
              <w:t>Capital expenditures related to our new corporate</w:t>
            </w:r>
          </w:p>
        </w:tc>
        <w:tc>
          <w:tcPr>
            <w:tcW w:w="1020" w:type="dxa"/>
            <w:vAlign w:val="bottom"/>
            <w:vMerge w:val="restart"/>
          </w:tcPr>
          <w:p>
            <w:pPr>
              <w:jc w:val="right"/>
              <w:ind w:right="81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ind w:right="9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1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9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9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9"/>
        </w:trPr>
        <w:tc>
          <w:tcPr>
            <w:tcW w:w="4520" w:type="dxa"/>
            <w:vAlign w:val="bottom"/>
          </w:tcPr>
          <w:p>
            <w:pPr>
              <w:ind w:left="280"/>
              <w:spacing w:after="0" w:line="244" w:lineRule="exact"/>
              <w:rPr>
                <w:sz w:val="20"/>
                <w:szCs w:val="20"/>
                <w:color w:val="auto"/>
              </w:rPr>
            </w:pPr>
            <w:r>
              <w:rPr>
                <w:rFonts w:ascii="Arial" w:cs="Arial" w:eastAsia="Arial" w:hAnsi="Arial"/>
                <w:sz w:val="18"/>
                <w:szCs w:val="18"/>
                <w:color w:val="auto"/>
                <w:w w:val="95"/>
              </w:rPr>
              <w:t>headquarters, net of tenant improvement allowances</w:t>
            </w:r>
            <w:r>
              <w:rPr>
                <w:rFonts w:ascii="Arial" w:cs="Arial" w:eastAsia="Arial" w:hAnsi="Arial"/>
                <w:sz w:val="25"/>
                <w:szCs w:val="25"/>
                <w:color w:val="auto"/>
                <w:w w:val="95"/>
                <w:vertAlign w:val="superscript"/>
              </w:rPr>
              <w:t>(1)</w:t>
            </w:r>
          </w:p>
        </w:tc>
        <w:tc>
          <w:tcPr>
            <w:tcW w:w="1020" w:type="dxa"/>
            <w:vAlign w:val="bottom"/>
            <w:tcBorders>
              <w:bottom w:val="single" w:sz="8" w:color="auto"/>
            </w:tcBorders>
            <w:vMerge w:val="continue"/>
          </w:tcPr>
          <w:p>
            <w:pPr>
              <w:spacing w:after="0"/>
              <w:rPr>
                <w:sz w:val="21"/>
                <w:szCs w:val="21"/>
                <w:color w:val="auto"/>
              </w:rPr>
            </w:pPr>
          </w:p>
        </w:tc>
        <w:tc>
          <w:tcPr>
            <w:tcW w:w="6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vMerge w:val="continue"/>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vMerge w:val="continue"/>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vMerge w:val="continue"/>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40" w:firstLine="8"/>
        <w:spacing w:after="0" w:line="262" w:lineRule="auto"/>
        <w:tabs>
          <w:tab w:leader="none" w:pos="192"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Capital expenditures include cash outflows related to the build-out of our new corporate headquarters in San Francisco, CA. Net cash provided by operating activities include tenant improvement allowances related to our new corporate headquarters, and represents cash received from our landlord to partially offset this build-out. These amounts are presented net in the table above.</w:t>
      </w:r>
    </w:p>
    <w:p>
      <w:pPr>
        <w:sectPr>
          <w:pgSz w:w="11900" w:h="16838" w:orient="portrait"/>
          <w:cols w:equalWidth="0" w:num="1">
            <w:col w:w="11420"/>
          </w:cols>
          <w:pgMar w:left="240" w:top="57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About Non-GAAP Financial Measures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To provide investors and others with additional information regarding Dropbox's results, we have disclosed the following non-GAAP financial measures: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differs from GAAP in that it excludes stock-based compensation expense, amortization of acquired intangible assets, other acquisition-related expenses, which include third-party diligence costs and compensation expense for key acquired personnel, and employer payroll tax expense relating to the release of two-tier RSUs in connection with our initial public offering during the six months ended June 30, 2018. Non-GAAP net income also excludes net gains on equity investments, and includes the income tax effect of the aforementioned adjustments, including the tax effects of acquired intangible assets. FCF differs from GAAP net cash provided by operating activities in that it treats capital expenditures as a reduction to net cash provided by operating activities. Free cash flow margin is calculated as FCF divided by revenue. Non-GAAP diluted net income per share differs from GAAP diluted net loss per share in that the numerator utilizes the non-GAAP net income as described above, and the weighted-average shares used in the computation include certain shares that are excluded from the GAAP diluted net loss per share calculation because their effect would have been anti-dilutive.</w:t>
      </w:r>
    </w:p>
    <w:p>
      <w:pPr>
        <w:spacing w:after="0" w:line="1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19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18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capital leases, includes capital expenditures related to our new corporate headquarters, and may be calculated differently by other companies in our industry, limiting its usefulness as a comparative measure.</w:t>
      </w:r>
    </w:p>
    <w:p>
      <w:pPr>
        <w:spacing w:after="0" w:line="17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compensates for these limitations by reconciling the non-GAAP financial measures to the most comparable GAAP financial measures. Additionally, we have provided supplemental disclosures in our reconciliation of net cash provided by operating activities to free cash flow to include capital expenditures related to our new corporate headquarters, net of tenant improvement allowances.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420"/>
          </w:cols>
          <w:pgMar w:left="240" w:top="5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Yip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ir@dropbox.com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Tessa Chen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press@dropbox.com</w:t>
      </w:r>
    </w:p>
    <w:sectPr>
      <w:pgSz w:w="11900" w:h="16838" w:orient="portrait"/>
      <w:cols w:equalWidth="0" w:num="1">
        <w:col w:w="10219"/>
      </w:cols>
      <w:pgMar w:left="24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2019-12-28T07:31:08Z</dcterms:created>
  <dcterms:modified xsi:type="dcterms:W3CDTF">2019-12-28T07:31:08Z</dcterms:modified>
</cp:coreProperties>
</file>