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8,376,364.00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8,376,364.00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8,376,364.00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8,376,364.00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8,376,364.00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8,376,364.00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SUITE 200, SAN FRANCISCO, CA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Schedule 13G is being filed by Renaissance Technologies LLC ("RTC") and Renaissance Technologies Holdings Corporation ("RTHC").</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Third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RTC is a Delaware limited liability company, and RTHC is 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8376364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8376364</w:t>
      </w:r>
    </w:p>
    <w:p>
      <w:pPr>
        <w:spacing w:after="0" w:line="28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8376364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Certain funds managed by RTC have the right to receive dividends and proceeds from the sale of the securities which are the subject of this report.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each of the undersigned agrees to the filing on behalf of each of a Statement on Schedule 13G, and all amendments thereto, with respect to the Class A Common Stock, par value $0.00001 per share of DROPBOX, INC.</w:t>
      </w:r>
    </w:p>
    <w:p>
      <w:pPr>
        <w:sectPr>
          <w:pgSz w:w="11900" w:h="16838" w:orient="portrait"/>
          <w:cols w:equalWidth="0" w:num="1">
            <w:col w:w="11140"/>
          </w:cols>
          <w:pgMar w:left="360" w:top="355"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2026-02-12T13:15:06Z</dcterms:created>
  <dcterms:modified xsi:type="dcterms:W3CDTF">2026-02-12T13:15:06Z</dcterms:modified>
</cp:coreProperties>
</file>