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7</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0000FF"/>
        </w:rPr>
        <w:t>DROPBOX,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A Common Stock, par value $0.00001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Andrew Houston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UNITED STATES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620"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84,044,727.00</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84,044,727.00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84,044,727.00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35.3 %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ectPr>
          <w:pgSz w:w="11900" w:h="16838" w:orient="portrait"/>
          <w:cols w:equalWidth="0" w:num="2">
            <w:col w:w="1060" w:space="60"/>
            <w:col w:w="9520"/>
          </w:cols>
          <w:pgMar w:left="360" w:top="111"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DROPBOX,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1800 OWENS STREET, SAN FRANCISCO, CA, 94158.</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Andrew W. Houston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c/o Dropbox, Inc. 1800 Owens Street San Francisco, CA 94158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Andrew W. Houston is a United States citizen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Class A Common Stock, par value $0.00001 per share</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838" w:orient="portrait"/>
          <w:cols w:equalWidth="0" w:num="1">
            <w:col w:w="10640"/>
          </w:cols>
          <w:pgMar w:left="360" w:top="111" w:right="899" w:bottom="0" w:gutter="0" w:footer="0" w:header="0"/>
          <w:type w:val="continuous"/>
        </w:sectPr>
      </w:pPr>
    </w:p>
    <w:bookmarkStart w:id="2" w:name="page3"/>
    <w:bookmarkEnd w:id="2"/>
    <w:p>
      <w:pPr>
        <w:spacing w:after="0" w:line="43" w:lineRule="exact"/>
        <w:rPr>
          <w:sz w:val="20"/>
          <w:szCs w:val="20"/>
          <w:color w:val="auto"/>
        </w:rPr>
      </w:pPr>
    </w:p>
    <w:p>
      <w:pPr>
        <w:ind w:left="920" w:right="680" w:hanging="912"/>
        <w:spacing w:after="0" w:line="258"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9"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22"/>
          <w:szCs w:val="22"/>
          <w:color w:val="auto"/>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ind w:left="920" w:right="40"/>
        <w:spacing w:after="0" w:line="247" w:lineRule="auto"/>
        <w:rPr>
          <w:sz w:val="20"/>
          <w:szCs w:val="20"/>
          <w:color w:val="auto"/>
        </w:rPr>
      </w:pPr>
      <w:r>
        <w:rPr>
          <w:rFonts w:ascii="Times New Roman" w:cs="Times New Roman" w:eastAsia="Times New Roman" w:hAnsi="Times New Roman"/>
          <w:sz w:val="21"/>
          <w:szCs w:val="21"/>
          <w:color w:val="auto"/>
        </w:rPr>
        <w:t>As of March 31, 2026, (i) 8,266,666 shares of Class A Common Stock were held by Andrew W. Houston, (ii) 716,728 shares of Class A Common Stock and 7,608,764 shares of Class B Common Stock were held by the Houston Remainder Trust u/a 12/30/2010, for which Mr. Houston serves as trustee, (iii) 444,444 shares of Class A Common Stock were held by The Erin Yu Houston Revocable Trust u/a/d 1/18/2024, for which Mr. Houston's spouse serves as</w:t>
      </w:r>
    </w:p>
    <w:p>
      <w:pPr>
        <w:spacing w:after="0" w:line="2" w:lineRule="exact"/>
        <w:rPr>
          <w:sz w:val="20"/>
          <w:szCs w:val="20"/>
          <w:color w:val="auto"/>
        </w:rPr>
      </w:pPr>
    </w:p>
    <w:p>
      <w:pPr>
        <w:ind w:left="920" w:right="20" w:hanging="912"/>
        <w:spacing w:after="0" w:line="244" w:lineRule="auto"/>
        <w:tabs>
          <w:tab w:leader="none" w:pos="920" w:val="left"/>
        </w:tabs>
        <w:numPr>
          <w:ilvl w:val="0"/>
          <w:numId w:val="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trustee, (iv) 66,507,625 shares of Class B Common Stock were held by Andrew Houston Revocable Trust u/a/d 9/7/2011, for which Mr. Houston serves as trustee, and (v) 500,500 shares of Class B Common Stock were held by the Houston 2012 Irrevocable Children's Trust u/a 4/12/2012, for which Mr. Houston serves as trustee. Each share of Class B Common Stock is convertible into one share of Class A Common Stock at the option of the holder and has no expiration date. Each share of Class B Common Stock is entitled to ten votes per share, whereas each share of Class A Common Stock is entitled to one vote per share. The rights of the holders of Class A Common Stock and Class B Common Stock are identical, except with respect to the aforementioned conversion rights and voting rights.</w:t>
      </w:r>
    </w:p>
    <w:p>
      <w:pPr>
        <w:spacing w:after="0" w:line="12" w:lineRule="exact"/>
        <w:rPr>
          <w:rFonts w:ascii="Times New Roman" w:cs="Times New Roman" w:eastAsia="Times New Roman" w:hAnsi="Times New Roman"/>
          <w:sz w:val="21"/>
          <w:szCs w:val="21"/>
          <w:color w:val="auto"/>
        </w:rPr>
      </w:pPr>
    </w:p>
    <w:p>
      <w:pPr>
        <w:ind w:left="920"/>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Percent of class:</w:t>
      </w:r>
    </w:p>
    <w:p>
      <w:pPr>
        <w:spacing w:after="0" w:line="233" w:lineRule="exact"/>
        <w:rPr>
          <w:rFonts w:ascii="Times New Roman" w:cs="Times New Roman" w:eastAsia="Times New Roman" w:hAnsi="Times New Roman"/>
          <w:sz w:val="21"/>
          <w:szCs w:val="21"/>
          <w:color w:val="auto"/>
        </w:rPr>
      </w:pPr>
    </w:p>
    <w:p>
      <w:pPr>
        <w:ind w:left="920" w:right="300" w:hanging="912"/>
        <w:spacing w:after="0" w:line="193" w:lineRule="auto"/>
        <w:tabs>
          <w:tab w:leader="none" w:pos="92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35.3% The ownership percentage above is calculated based on 163,263,829 shares of Class A Common Stock outstanding as of March 31, 2026, which number includes restricted stock awards subject to vesting as such shares are entitled to vote, plus the assumed conversion of 74,616,889 shares of Class B Common Stock deemed beneficially owned by Mr. Houston, as described herein, into shares of Class A Common Stock. %</w:t>
      </w:r>
    </w:p>
    <w:p>
      <w:pPr>
        <w:spacing w:after="0" w:line="18" w:lineRule="exact"/>
        <w:rPr>
          <w:rFonts w:ascii="Times New Roman" w:cs="Times New Roman" w:eastAsia="Times New Roman" w:hAnsi="Times New Roman"/>
          <w:sz w:val="43"/>
          <w:szCs w:val="43"/>
          <w:color w:val="auto"/>
          <w:vertAlign w:val="subscript"/>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81"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9.</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84,044,727 shares</w:t>
      </w:r>
    </w:p>
    <w:p>
      <w:pPr>
        <w:spacing w:after="0" w:line="1"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 shares</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84,044,727 shares</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 shares</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Notice of Dissolution of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200" w:lineRule="exact"/>
        <w:rPr>
          <w:sz w:val="20"/>
          <w:szCs w:val="20"/>
          <w:color w:val="auto"/>
        </w:rPr>
      </w:pPr>
    </w:p>
    <w:p>
      <w:pPr>
        <w:sectPr>
          <w:pgSz w:w="11900" w:h="16881" w:orient="portrait"/>
          <w:cols w:equalWidth="0" w:num="2">
            <w:col w:w="620" w:space="300"/>
            <w:col w:w="10220"/>
          </w:cols>
          <w:pgMar w:left="360" w:top="126" w:right="399" w:bottom="0" w:gutter="0" w:footer="0" w:header="0"/>
          <w:type w:val="continuous"/>
        </w:sectPr>
      </w:pP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10. Certifications:</w:t>
      </w:r>
    </w:p>
    <w:p>
      <w:pPr>
        <w:spacing w:after="0" w:line="44"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81" w:orient="portrait"/>
          <w:cols w:equalWidth="0" w:num="1">
            <w:col w:w="11140"/>
          </w:cols>
          <w:pgMar w:left="360" w:top="126" w:right="399" w:bottom="0" w:gutter="0" w:footer="0" w:header="0"/>
          <w:type w:val="continuous"/>
        </w:sectPr>
      </w:pPr>
    </w:p>
    <w:bookmarkStart w:id="3" w:name="page4"/>
    <w:bookmarkEnd w:id="3"/>
    <w:p>
      <w:pPr>
        <w:ind w:left="580"/>
        <w:spacing w:after="0"/>
        <w:rPr>
          <w:sz w:val="20"/>
          <w:szCs w:val="20"/>
          <w:color w:val="auto"/>
        </w:rPr>
      </w:pPr>
      <w:r>
        <w:rPr>
          <w:rFonts w:ascii="Times New Roman" w:cs="Times New Roman" w:eastAsia="Times New Roman" w:hAnsi="Times New Roman"/>
          <w:sz w:val="22"/>
          <w:szCs w:val="22"/>
          <w:color w:val="auto"/>
        </w:rPr>
        <w:t>Andrew Houston</w:t>
      </w:r>
    </w:p>
    <w:p>
      <w:pPr>
        <w:spacing w:after="0" w:line="152" w:lineRule="exact"/>
        <w:rPr>
          <w:sz w:val="20"/>
          <w:szCs w:val="20"/>
          <w:color w:val="auto"/>
        </w:rPr>
      </w:pPr>
    </w:p>
    <w:p>
      <w:pPr>
        <w:ind w:left="2240"/>
        <w:spacing w:after="0"/>
        <w:tabs>
          <w:tab w:leader="none" w:pos="33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Andrew W. Houston</w:t>
      </w:r>
    </w:p>
    <w:p>
      <w:pPr>
        <w:spacing w:after="0" w:line="44"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22"/>
          <w:szCs w:val="22"/>
          <w:color w:val="auto"/>
        </w:rPr>
        <w:t>Name/Title: Andrew W. Houston</w:t>
      </w:r>
    </w:p>
    <w:p>
      <w:pPr>
        <w:spacing w:after="0" w:line="44" w:lineRule="exact"/>
        <w:rPr>
          <w:sz w:val="20"/>
          <w:szCs w:val="20"/>
          <w:color w:val="auto"/>
        </w:rPr>
      </w:pPr>
    </w:p>
    <w:p>
      <w:pPr>
        <w:ind w:left="2240"/>
        <w:spacing w:after="0"/>
        <w:tabs>
          <w:tab w:leader="none" w:pos="33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05/01/2026</w:t>
      </w:r>
    </w:p>
    <w:sectPr>
      <w:pgSz w:w="11900" w:h="16838" w:orient="portrait"/>
      <w:cols w:equalWidth="0" w:num="1">
        <w:col w:w="9019"/>
      </w:cols>
      <w:pgMar w:left="1440" w:top="47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5"/>
      <w:numFmt w:val="bullet"/>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2026-05-01T18:55:03Z</dcterms:created>
  <dcterms:modified xsi:type="dcterms:W3CDTF">2026-05-01T18:55:03Z</dcterms:modified>
</cp:coreProperties>
</file>