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761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761301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Houston Andrew</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1800 OWENS STREET</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10/01/2024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19"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38" w:lineRule="exact"/>
        <w:rPr>
          <w:sz w:val="24"/>
          <w:szCs w:val="24"/>
          <w:color w:val="auto"/>
        </w:rPr>
      </w:pPr>
    </w:p>
    <w:p>
      <w:pPr>
        <w:sectPr>
          <w:pgSz w:w="11900" w:h="16838" w:orient="portrait"/>
          <w:cols w:equalWidth="0" w:num="3">
            <w:col w:w="3180" w:space="720"/>
            <w:col w:w="3120" w:space="720"/>
            <w:col w:w="3340"/>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94158</w:t>
            </w:r>
          </w:p>
        </w:tc>
        <w:tc>
          <w:tcPr>
            <w:tcW w:w="670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00"/>
              <w:spacing w:after="0" w:line="139"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1"/>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00"/>
              <w:spacing w:after="0" w:line="106"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2"/>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4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10/01/2024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351,306</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0.00</w:t>
            </w:r>
            <w:r>
              <w:rPr>
                <w:rFonts w:ascii="Times New Roman" w:cs="Times New Roman" w:eastAsia="Times New Roman" w:hAnsi="Times New Roman"/>
                <w:sz w:val="20"/>
                <w:szCs w:val="20"/>
                <w:color w:val="008000"/>
                <w:w w:val="95"/>
                <w:vertAlign w:val="superscript"/>
              </w:rPr>
              <w:t>(1)</w:t>
            </w: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351,306</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10/01/2024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351,306</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25.1243</w:t>
            </w:r>
            <w:r>
              <w:rPr>
                <w:rFonts w:ascii="Times New Roman" w:cs="Times New Roman" w:eastAsia="Times New Roman" w:hAnsi="Times New Roman"/>
                <w:sz w:val="20"/>
                <w:szCs w:val="20"/>
                <w:color w:val="008000"/>
                <w:w w:val="96"/>
                <w:vertAlign w:val="superscript"/>
              </w:rPr>
              <w:t>(4)</w:t>
            </w:r>
          </w:p>
        </w:tc>
        <w:tc>
          <w:tcPr>
            <w:tcW w:w="6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0.00</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10/02/2024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97,362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0.00</w:t>
            </w:r>
            <w:r>
              <w:rPr>
                <w:rFonts w:ascii="Times New Roman" w:cs="Times New Roman" w:eastAsia="Times New Roman" w:hAnsi="Times New Roman"/>
                <w:sz w:val="20"/>
                <w:szCs w:val="20"/>
                <w:color w:val="008000"/>
                <w:w w:val="95"/>
                <w:vertAlign w:val="superscript"/>
              </w:rPr>
              <w:t>(5)</w:t>
            </w: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97,362</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0000FF"/>
              </w:rPr>
              <w:t>10/02/2024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97,362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25.2579</w:t>
            </w:r>
            <w:r>
              <w:rPr>
                <w:rFonts w:ascii="Times New Roman" w:cs="Times New Roman" w:eastAsia="Times New Roman" w:hAnsi="Times New Roman"/>
                <w:sz w:val="20"/>
                <w:szCs w:val="20"/>
                <w:color w:val="008000"/>
                <w:w w:val="96"/>
                <w:vertAlign w:val="superscript"/>
              </w:rPr>
              <w:t>(6)</w:t>
            </w:r>
          </w:p>
        </w:tc>
        <w:tc>
          <w:tcPr>
            <w:tcW w:w="6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0.00</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444,444</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7"/>
              </w:rPr>
              <w:t>8,266,666</w:t>
            </w:r>
            <w:r>
              <w:rPr>
                <w:rFonts w:ascii="Times New Roman" w:cs="Times New Roman" w:eastAsia="Times New Roman" w:hAnsi="Times New Roman"/>
                <w:sz w:val="20"/>
                <w:szCs w:val="20"/>
                <w:color w:val="008000"/>
                <w:w w:val="97"/>
                <w:vertAlign w:val="superscript"/>
              </w:rPr>
              <w:t>(8)</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53"/>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rPr>
              <w:t>716,728</w:t>
            </w:r>
          </w:p>
        </w:tc>
        <w:tc>
          <w:tcPr>
            <w:tcW w:w="320" w:type="dxa"/>
            <w:vAlign w:val="bottom"/>
          </w:tcPr>
          <w:p>
            <w:pPr>
              <w:spacing w:after="0"/>
              <w:rPr>
                <w:sz w:val="20"/>
                <w:szCs w:val="20"/>
                <w:color w:val="auto"/>
              </w:rPr>
            </w:pPr>
          </w:p>
        </w:tc>
        <w:tc>
          <w:tcPr>
            <w:tcW w:w="520" w:type="dxa"/>
            <w:vAlign w:val="bottom"/>
            <w:vMerge w:val="restart"/>
          </w:tcPr>
          <w:p>
            <w:pPr>
              <w:jc w:val="center"/>
              <w:ind w:right="273"/>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0"/>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351,306</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3"/>
              <w:spacing w:after="0" w:line="101" w:lineRule="exact"/>
              <w:rPr>
                <w:sz w:val="20"/>
                <w:szCs w:val="20"/>
                <w:color w:val="auto"/>
              </w:rPr>
            </w:pPr>
            <w:r>
              <w:rPr>
                <w:rFonts w:ascii="Times New Roman" w:cs="Times New Roman" w:eastAsia="Times New Roman" w:hAnsi="Times New Roman"/>
                <w:sz w:val="11"/>
                <w:szCs w:val="11"/>
                <w:color w:val="0000FF"/>
              </w:rPr>
              <w:t>10/01/2024</w:t>
            </w:r>
          </w:p>
        </w:tc>
        <w:tc>
          <w:tcPr>
            <w:tcW w:w="1060" w:type="dxa"/>
            <w:vAlign w:val="bottom"/>
          </w:tcPr>
          <w:p>
            <w:pPr>
              <w:spacing w:after="0"/>
              <w:rPr>
                <w:sz w:val="3"/>
                <w:szCs w:val="3"/>
                <w:color w:val="auto"/>
              </w:rPr>
            </w:pPr>
          </w:p>
        </w:tc>
        <w:tc>
          <w:tcPr>
            <w:tcW w:w="58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200" w:type="dxa"/>
            <w:vAlign w:val="bottom"/>
          </w:tcPr>
          <w:p>
            <w:pPr>
              <w:spacing w:after="0"/>
              <w:rPr>
                <w:sz w:val="3"/>
                <w:szCs w:val="3"/>
                <w:color w:val="auto"/>
              </w:rPr>
            </w:pPr>
          </w:p>
        </w:tc>
        <w:tc>
          <w:tcPr>
            <w:tcW w:w="82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1"/>
                <w:szCs w:val="11"/>
                <w:color w:val="0000FF"/>
              </w:rPr>
              <w:t>351,306</w:t>
            </w: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restart"/>
          </w:tcPr>
          <w:p>
            <w:pPr>
              <w:ind w:left="14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69,515,488</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97,362</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3"/>
              <w:spacing w:after="0"/>
              <w:rPr>
                <w:sz w:val="20"/>
                <w:szCs w:val="20"/>
                <w:color w:val="auto"/>
              </w:rPr>
            </w:pPr>
            <w:r>
              <w:rPr>
                <w:rFonts w:ascii="Times New Roman" w:cs="Times New Roman" w:eastAsia="Times New Roman" w:hAnsi="Times New Roman"/>
                <w:sz w:val="13"/>
                <w:szCs w:val="13"/>
                <w:color w:val="0000FF"/>
              </w:rPr>
              <w:t>10/02/2024</w:t>
            </w:r>
          </w:p>
        </w:tc>
        <w:tc>
          <w:tcPr>
            <w:tcW w:w="106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3"/>
                <w:szCs w:val="3"/>
                <w:color w:val="auto"/>
              </w:rPr>
            </w:pP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3"/>
                <w:szCs w:val="13"/>
                <w:color w:val="0000FF"/>
              </w:rPr>
              <w:t>97,362</w:t>
            </w: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69,418,126</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80"/>
              <w:spacing w:after="0" w:line="156" w:lineRule="exact"/>
              <w:rPr>
                <w:sz w:val="20"/>
                <w:szCs w:val="20"/>
                <w:color w:val="auto"/>
              </w:rPr>
            </w:pPr>
            <w:r>
              <w:rPr>
                <w:rFonts w:ascii="Times New Roman" w:cs="Times New Roman" w:eastAsia="Times New Roman" w:hAnsi="Times New Roman"/>
                <w:sz w:val="12"/>
                <w:szCs w:val="12"/>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7,743,764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7,743,764</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500,500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500,500</w:t>
            </w:r>
          </w:p>
        </w:tc>
        <w:tc>
          <w:tcPr>
            <w:tcW w:w="5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-2677160</wp:posOffset>
            </wp:positionV>
            <wp:extent cx="28575" cy="268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6828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351,306 shares of Class B Common Stock were converted into 351,306 shares of Class A Common Stock at the election of the Reporting Person and had no expiration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39"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$25.00 to $25.48.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97,362 shares of Class B Common Stock were converted into 97,362 shares of Class A Common Stock at the election of the Reporting Person and had no expiration date.</w:t>
      </w:r>
    </w:p>
    <w:p>
      <w:pPr>
        <w:spacing w:after="0" w:line="39"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$25.09 to $25.55.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39" w:lineRule="exact"/>
        <w:rPr>
          <w:rFonts w:ascii="Times New Roman" w:cs="Times New Roman" w:eastAsia="Times New Roman" w:hAnsi="Times New Roman"/>
          <w:sz w:val="13"/>
          <w:szCs w:val="13"/>
          <w:color w:val="008000"/>
        </w:rPr>
      </w:pPr>
    </w:p>
    <w:p>
      <w:pPr>
        <w:ind w:left="1" w:hanging="1"/>
        <w:spacing w:after="0" w:line="246"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1"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39"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39"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28" w:lineRule="auto"/>
        <w:rPr>
          <w:sz w:val="20"/>
          <w:szCs w:val="20"/>
          <w:color w:val="auto"/>
        </w:rPr>
      </w:pPr>
      <w:r>
        <w:rPr>
          <w:rFonts w:ascii="Times New Roman" w:cs="Times New Roman" w:eastAsia="Times New Roman" w:hAnsi="Times New Roman"/>
          <w:sz w:val="16"/>
          <w:szCs w:val="16"/>
          <w:color w:val="0000FF"/>
        </w:rPr>
        <w:t xml:space="preserve">/s/ Cara Angelmar, Attorney-in-  </w:t>
      </w:r>
      <w:r>
        <w:rPr>
          <w:rFonts w:ascii="Times New Roman" w:cs="Times New Roman" w:eastAsia="Times New Roman" w:hAnsi="Times New Roman"/>
          <w:sz w:val="32"/>
          <w:szCs w:val="32"/>
          <w:color w:val="0000FF"/>
          <w:vertAlign w:val="subscript"/>
        </w:rPr>
        <w:t>10/03/2024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-26035</wp:posOffset>
            </wp:positionV>
            <wp:extent cx="133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-15240</wp:posOffset>
            </wp:positionV>
            <wp:extent cx="179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-79375</wp:posOffset>
            </wp:positionV>
            <wp:extent cx="473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0"/>
          <w:szCs w:val="20"/>
          <w:color w:val="auto"/>
        </w:rPr>
      </w:pPr>
    </w:p>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200" w:hanging="1"/>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481"/>
          </w:cols>
          <w:pgMar w:left="499" w:top="127" w:right="9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LIMITED POWER OF ATTORNEY - SECURITIES LAW COMPLIANCE</w:t>
      </w:r>
    </w:p>
    <w:p>
      <w:pPr>
        <w:spacing w:after="0" w:line="197" w:lineRule="exact"/>
        <w:rPr>
          <w:sz w:val="20"/>
          <w:szCs w:val="20"/>
          <w:color w:val="auto"/>
        </w:rPr>
      </w:pPr>
    </w:p>
    <w:p>
      <w:pPr>
        <w:ind w:left="100" w:right="4499" w:hanging="97"/>
        <w:spacing w:after="0" w:line="25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3" w:lineRule="exact"/>
        <w:rPr>
          <w:sz w:val="20"/>
          <w:szCs w:val="20"/>
          <w:color w:val="auto"/>
        </w:rPr>
      </w:pPr>
    </w:p>
    <w:p>
      <w:pPr>
        <w:ind w:left="100" w:right="4299"/>
        <w:spacing w:after="0" w:line="271"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1" w:lineRule="exact"/>
        <w:rPr>
          <w:sz w:val="20"/>
          <w:szCs w:val="20"/>
          <w:color w:val="auto"/>
        </w:rPr>
      </w:pPr>
    </w:p>
    <w:p>
      <w:pPr>
        <w:ind w:left="100" w:right="4779" w:hanging="97"/>
        <w:spacing w:after="0" w:line="266"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3" w:lineRule="exact"/>
        <w:rPr>
          <w:sz w:val="20"/>
          <w:szCs w:val="20"/>
          <w:color w:val="auto"/>
        </w:rPr>
      </w:pPr>
    </w:p>
    <w:p>
      <w:pPr>
        <w:ind w:left="100" w:right="4699" w:hanging="97"/>
        <w:spacing w:after="0" w:line="256"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 the foregoing attorneys-in-fact.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Limited Power of Attorney is executed as of</w:t>
      </w:r>
    </w:p>
    <w:p>
      <w:pPr>
        <w:spacing w:after="0" w:line="3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date set forth below.</w:t>
      </w:r>
    </w:p>
    <w:p>
      <w:pPr>
        <w:spacing w:after="0" w:line="35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/s/ Andrew Houston</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Andrew Houston</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563"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2024-10-03T15:49:45Z</dcterms:created>
  <dcterms:modified xsi:type="dcterms:W3CDTF">2024-10-03T15:49:45Z</dcterms:modified>
</cp:coreProperties>
</file>