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5457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5719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Rangan Yamini</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BRANNAN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02/15/2019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7" w:right="660" w:hanging="7"/>
        <w:spacing w:after="0" w:line="254" w:lineRule="auto"/>
        <w:tabs>
          <w:tab w:leader="none" w:pos="15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7"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7"/>
        <w:spacing w:after="0"/>
        <w:rPr>
          <w:sz w:val="20"/>
          <w:szCs w:val="20"/>
          <w:color w:val="auto"/>
        </w:rPr>
      </w:pPr>
      <w:r>
        <w:rPr>
          <w:rFonts w:ascii="Arial" w:cs="Arial" w:eastAsia="Arial" w:hAnsi="Arial"/>
          <w:sz w:val="17"/>
          <w:szCs w:val="17"/>
          <w:color w:val="0000FF"/>
        </w:rPr>
        <w:t>Chief Customer Officer</w:t>
      </w:r>
    </w:p>
    <w:p>
      <w:pPr>
        <w:spacing w:after="0" w:line="333" w:lineRule="exact"/>
        <w:rPr>
          <w:sz w:val="24"/>
          <w:szCs w:val="24"/>
          <w:color w:val="auto"/>
        </w:rPr>
      </w:pPr>
    </w:p>
    <w:p>
      <w:pPr>
        <w:sectPr>
          <w:pgSz w:w="11900" w:h="16838" w:orient="portrait"/>
          <w:cols w:equalWidth="0" w:num="3">
            <w:col w:w="3360" w:space="720"/>
            <w:col w:w="3253" w:space="720"/>
            <w:col w:w="3467"/>
          </w:cols>
          <w:pgMar w:left="240" w:top="225" w:right="139" w:bottom="1440" w:gutter="0" w:footer="0" w:header="0"/>
          <w:type w:val="continuous"/>
        </w:sectPr>
      </w:pP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60" w:type="dxa"/>
            <w:vAlign w:val="bottom"/>
            <w:gridSpan w:val="6"/>
          </w:tcPr>
          <w:p>
            <w:pPr>
              <w:jc w:val="center"/>
              <w:ind w:right="54"/>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94107</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22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jc w:val="center"/>
              <w:ind w:right="15"/>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02/15/2019</w:t>
            </w:r>
          </w:p>
        </w:tc>
        <w:tc>
          <w:tcPr>
            <w:tcW w:w="10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4,128</w:t>
            </w:r>
            <w:r>
              <w:rPr>
                <w:rFonts w:ascii="Arial" w:cs="Arial" w:eastAsia="Arial" w:hAnsi="Arial"/>
                <w:sz w:val="22"/>
                <w:szCs w:val="22"/>
                <w:color w:val="008000"/>
                <w:vertAlign w:val="superscript"/>
              </w:rPr>
              <w:t>(1)</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25.78</w:t>
            </w:r>
          </w:p>
        </w:tc>
        <w:tc>
          <w:tcPr>
            <w:tcW w:w="1320" w:type="dxa"/>
            <w:vAlign w:val="bottom"/>
            <w:tcBorders>
              <w:bottom w:val="single" w:sz="8" w:color="2C2C2C"/>
            </w:tcBorders>
            <w:gridSpan w:val="3"/>
          </w:tcPr>
          <w:p>
            <w:pPr>
              <w:ind w:left="320"/>
              <w:spacing w:after="0"/>
              <w:rPr>
                <w:sz w:val="20"/>
                <w:szCs w:val="20"/>
                <w:color w:val="auto"/>
              </w:rPr>
            </w:pPr>
            <w:r>
              <w:rPr>
                <w:rFonts w:ascii="Arial" w:cs="Arial" w:eastAsia="Arial" w:hAnsi="Arial"/>
                <w:sz w:val="17"/>
                <w:szCs w:val="17"/>
                <w:color w:val="0000FF"/>
              </w:rPr>
              <w:t>162,484</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02/15/2019</w:t>
            </w:r>
          </w:p>
        </w:tc>
        <w:tc>
          <w:tcPr>
            <w:tcW w:w="10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C</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6,672</w:t>
            </w:r>
            <w:r>
              <w:rPr>
                <w:rFonts w:ascii="Arial" w:cs="Arial" w:eastAsia="Arial" w:hAnsi="Arial"/>
                <w:sz w:val="22"/>
                <w:szCs w:val="22"/>
                <w:color w:val="008000"/>
                <w:vertAlign w:val="superscript"/>
              </w:rPr>
              <w:t>(3)</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320" w:type="dxa"/>
            <w:vAlign w:val="bottom"/>
            <w:tcBorders>
              <w:bottom w:val="single" w:sz="8" w:color="2C2C2C"/>
            </w:tcBorders>
            <w:gridSpan w:val="3"/>
          </w:tcPr>
          <w:p>
            <w:pPr>
              <w:ind w:left="320"/>
              <w:spacing w:after="0"/>
              <w:rPr>
                <w:sz w:val="20"/>
                <w:szCs w:val="20"/>
                <w:color w:val="auto"/>
              </w:rPr>
            </w:pPr>
            <w:r>
              <w:rPr>
                <w:rFonts w:ascii="Arial" w:cs="Arial" w:eastAsia="Arial" w:hAnsi="Arial"/>
                <w:sz w:val="17"/>
                <w:szCs w:val="17"/>
                <w:color w:val="0000FF"/>
              </w:rPr>
              <w:t>169,156</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10"/>
          </w:tcPr>
          <w:p>
            <w:pPr>
              <w:jc w:val="center"/>
              <w:ind w:left="46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020" w:type="dxa"/>
            <w:vAlign w:val="bottom"/>
          </w:tcPr>
          <w:p>
            <w:pPr>
              <w:ind w:left="16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96"/>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ind w:right="55"/>
              <w:spacing w:after="0" w:line="134" w:lineRule="exact"/>
              <w:rPr>
                <w:sz w:val="20"/>
                <w:szCs w:val="20"/>
                <w:color w:val="auto"/>
              </w:rPr>
            </w:pPr>
            <w:r>
              <w:rPr>
                <w:rFonts w:ascii="Arial" w:cs="Arial" w:eastAsia="Arial" w:hAnsi="Arial"/>
                <w:sz w:val="12"/>
                <w:szCs w:val="12"/>
                <w:b w:val="1"/>
                <w:bCs w:val="1"/>
                <w:color w:val="auto"/>
                <w:w w:val="98"/>
              </w:rPr>
              <w:t>Expiration</w:t>
            </w:r>
          </w:p>
        </w:tc>
        <w:tc>
          <w:tcPr>
            <w:tcW w:w="64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0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jc w:val="right"/>
              <w:ind w:right="395"/>
              <w:spacing w:after="0"/>
              <w:rPr>
                <w:sz w:val="20"/>
                <w:szCs w:val="20"/>
                <w:color w:val="auto"/>
              </w:rPr>
            </w:pPr>
            <w:r>
              <w:rPr>
                <w:rFonts w:ascii="Arial" w:cs="Arial" w:eastAsia="Arial" w:hAnsi="Arial"/>
                <w:sz w:val="12"/>
                <w:szCs w:val="12"/>
                <w:b w:val="1"/>
                <w:bCs w:val="1"/>
                <w:color w:val="auto"/>
                <w:w w:val="99"/>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9"/>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center"/>
              <w:ind w:right="35"/>
              <w:spacing w:after="0"/>
              <w:rPr>
                <w:sz w:val="20"/>
                <w:szCs w:val="20"/>
                <w:color w:val="auto"/>
              </w:rPr>
            </w:pPr>
            <w:r>
              <w:rPr>
                <w:rFonts w:ascii="Arial" w:cs="Arial" w:eastAsia="Arial" w:hAnsi="Arial"/>
                <w:sz w:val="11"/>
                <w:szCs w:val="11"/>
                <w:color w:val="008000"/>
                <w:w w:val="88"/>
              </w:rPr>
              <w:t>(3)</w:t>
            </w: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9"/>
              </w:rPr>
              <w:t>6,672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3"/>
                <w:szCs w:val="13"/>
                <w:color w:val="0000FF"/>
              </w:rPr>
              <w:t>34,992</w:t>
            </w:r>
            <w:r>
              <w:rPr>
                <w:rFonts w:ascii="Arial" w:cs="Arial" w:eastAsia="Arial" w:hAnsi="Arial"/>
                <w:sz w:val="22"/>
                <w:szCs w:val="22"/>
                <w:color w:val="008000"/>
                <w:vertAlign w:val="superscript"/>
              </w:rPr>
              <w:t>(4)</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153"/>
              <w:spacing w:after="0" w:line="148" w:lineRule="exact"/>
              <w:rPr>
                <w:sz w:val="20"/>
                <w:szCs w:val="20"/>
                <w:color w:val="auto"/>
              </w:rPr>
            </w:pPr>
            <w:r>
              <w:rPr>
                <w:rFonts w:ascii="Arial" w:cs="Arial" w:eastAsia="Arial" w:hAnsi="Arial"/>
                <w:sz w:val="13"/>
                <w:szCs w:val="13"/>
                <w:color w:val="0000FF"/>
              </w:rPr>
              <w:t>02/15/2019</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60"/>
              <w:spacing w:after="0" w:line="148" w:lineRule="exact"/>
              <w:rPr>
                <w:sz w:val="20"/>
                <w:szCs w:val="20"/>
                <w:color w:val="auto"/>
              </w:rPr>
            </w:pPr>
            <w:r>
              <w:rPr>
                <w:rFonts w:ascii="Arial" w:cs="Arial" w:eastAsia="Arial" w:hAnsi="Arial"/>
                <w:sz w:val="13"/>
                <w:szCs w:val="13"/>
                <w:color w:val="0000FF"/>
              </w:rPr>
              <w:t>C</w:t>
            </w:r>
          </w:p>
        </w:tc>
        <w:tc>
          <w:tcPr>
            <w:tcW w:w="1020" w:type="dxa"/>
            <w:vAlign w:val="bottom"/>
          </w:tcPr>
          <w:p>
            <w:pPr>
              <w:jc w:val="right"/>
              <w:ind w:right="119"/>
              <w:spacing w:after="0" w:line="148" w:lineRule="exact"/>
              <w:rPr>
                <w:sz w:val="20"/>
                <w:szCs w:val="20"/>
                <w:color w:val="auto"/>
              </w:rPr>
            </w:pPr>
            <w:r>
              <w:rPr>
                <w:rFonts w:ascii="Arial" w:cs="Arial" w:eastAsia="Arial" w:hAnsi="Arial"/>
                <w:sz w:val="13"/>
                <w:szCs w:val="13"/>
                <w:color w:val="0000FF"/>
              </w:rPr>
              <w:t>6,672</w:t>
            </w:r>
          </w:p>
        </w:tc>
        <w:tc>
          <w:tcPr>
            <w:tcW w:w="8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ind w:left="20"/>
              <w:spacing w:after="0" w:line="148"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98"/>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880" w:type="dxa"/>
            <w:vAlign w:val="bottom"/>
            <w:gridSpan w:val="2"/>
            <w:vMerge w:val="continue"/>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vMerge w:val="restart"/>
          </w:tcPr>
          <w:p>
            <w:pPr>
              <w:jc w:val="center"/>
              <w:ind w:right="39"/>
              <w:spacing w:after="0"/>
              <w:rPr>
                <w:sz w:val="20"/>
                <w:szCs w:val="20"/>
                <w:color w:val="auto"/>
              </w:rPr>
            </w:pPr>
            <w:r>
              <w:rPr>
                <w:rFonts w:ascii="Arial" w:cs="Arial" w:eastAsia="Arial" w:hAnsi="Arial"/>
                <w:sz w:val="13"/>
                <w:szCs w:val="13"/>
                <w:color w:val="0000FF"/>
              </w:rPr>
              <w:t>3,744</w:t>
            </w:r>
            <w:r>
              <w:rPr>
                <w:rFonts w:ascii="Arial" w:cs="Arial" w:eastAsia="Arial" w:hAnsi="Arial"/>
                <w:sz w:val="22"/>
                <w:szCs w:val="22"/>
                <w:color w:val="008000"/>
                <w:vertAlign w:val="superscript"/>
              </w:rPr>
              <w:t>(1)</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ind w:right="35"/>
              <w:spacing w:after="0"/>
              <w:rPr>
                <w:sz w:val="20"/>
                <w:szCs w:val="20"/>
                <w:color w:val="auto"/>
              </w:rPr>
            </w:pPr>
            <w:r>
              <w:rPr>
                <w:rFonts w:ascii="Arial" w:cs="Arial" w:eastAsia="Arial" w:hAnsi="Arial"/>
                <w:sz w:val="11"/>
                <w:szCs w:val="11"/>
                <w:color w:val="008000"/>
                <w:w w:val="88"/>
              </w:rPr>
              <w:t>(5)</w:t>
            </w: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9"/>
              </w:rPr>
              <w:t>3,744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3"/>
                <w:szCs w:val="13"/>
                <w:color w:val="0000FF"/>
              </w:rPr>
              <w:t>31,248</w:t>
            </w:r>
            <w:r>
              <w:rPr>
                <w:rFonts w:ascii="Arial" w:cs="Arial" w:eastAsia="Arial" w:hAnsi="Arial"/>
                <w:sz w:val="22"/>
                <w:szCs w:val="22"/>
                <w:color w:val="008000"/>
                <w:vertAlign w:val="superscript"/>
              </w:rPr>
              <w:t>(4)</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153"/>
              <w:spacing w:after="0" w:line="148" w:lineRule="exact"/>
              <w:rPr>
                <w:sz w:val="20"/>
                <w:szCs w:val="20"/>
                <w:color w:val="auto"/>
              </w:rPr>
            </w:pPr>
            <w:r>
              <w:rPr>
                <w:rFonts w:ascii="Arial" w:cs="Arial" w:eastAsia="Arial" w:hAnsi="Arial"/>
                <w:sz w:val="13"/>
                <w:szCs w:val="13"/>
                <w:color w:val="0000FF"/>
              </w:rPr>
              <w:t>02/15/2019</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80"/>
              <w:spacing w:after="0" w:line="148" w:lineRule="exact"/>
              <w:rPr>
                <w:sz w:val="20"/>
                <w:szCs w:val="20"/>
                <w:color w:val="auto"/>
              </w:rPr>
            </w:pPr>
            <w:r>
              <w:rPr>
                <w:rFonts w:ascii="Arial" w:cs="Arial" w:eastAsia="Arial" w:hAnsi="Arial"/>
                <w:sz w:val="13"/>
                <w:szCs w:val="13"/>
                <w:color w:val="0000FF"/>
              </w:rPr>
              <w:t>F</w:t>
            </w:r>
          </w:p>
        </w:tc>
        <w:tc>
          <w:tcPr>
            <w:tcW w:w="102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ind w:left="20"/>
              <w:spacing w:after="0" w:line="148"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58"/>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25.78</w:t>
            </w:r>
          </w:p>
        </w:tc>
        <w:tc>
          <w:tcPr>
            <w:tcW w:w="880" w:type="dxa"/>
            <w:vAlign w:val="bottom"/>
            <w:gridSpan w:val="2"/>
            <w:vMerge w:val="continue"/>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5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units previously reported.</w:t>
      </w:r>
    </w:p>
    <w:p>
      <w:pPr>
        <w:spacing w:after="0" w:line="11" w:lineRule="exact"/>
        <w:rPr>
          <w:rFonts w:ascii="Arial" w:cs="Arial" w:eastAsia="Arial" w:hAnsi="Arial"/>
          <w:sz w:val="13"/>
          <w:szCs w:val="13"/>
          <w:color w:val="008000"/>
        </w:rPr>
      </w:pPr>
    </w:p>
    <w:p>
      <w:pPr>
        <w:ind w:left="40" w:right="24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A Common Stock, subject to the applicable vesting schedule through August 15, 2022. In the event the Reporting Person ceases to be a Service Provider, the unvested restricted stock units will be cancelled by the Issuer.</w:t>
      </w:r>
    </w:p>
    <w:p>
      <w:pPr>
        <w:spacing w:after="0" w:line="1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6,672 shares of Class B Common Stock were converted into 6,672 shares of Class A Common Stock at the election of the Reporting Person and had no expiration date.</w:t>
      </w:r>
    </w:p>
    <w:p>
      <w:pPr>
        <w:spacing w:after="0" w:line="50" w:lineRule="exact"/>
        <w:rPr>
          <w:rFonts w:ascii="Arial" w:cs="Arial" w:eastAsia="Arial" w:hAnsi="Arial"/>
          <w:sz w:val="13"/>
          <w:szCs w:val="13"/>
          <w:color w:val="008000"/>
        </w:rPr>
      </w:pPr>
    </w:p>
    <w:p>
      <w:pPr>
        <w:ind w:left="40" w:right="34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restricted stock units. Each restricted stock unit represents the Reporting Person's right to receive one share of Class B Common Stock, subject to the applicable vesting schedule through November 15, 2019. In the event the Reporting Person ceases to be a Service Provider, the unvested restricted stock units will be cancelled by the Issuer.</w:t>
      </w:r>
    </w:p>
    <w:p>
      <w:pPr>
        <w:spacing w:after="0" w:line="1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Issuer's Class B Common Stock is convertible into the Issuer's Class A Common Stock on a one-for-one basis at the Reporting Person's election and has no expiration 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Mary Anne Becking,</w:t>
            </w:r>
          </w:p>
        </w:tc>
        <w:tc>
          <w:tcPr>
            <w:tcW w:w="60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02/20/2019</w:t>
            </w:r>
          </w:p>
        </w:tc>
        <w:tc>
          <w:tcPr>
            <w:tcW w:w="0" w:type="dxa"/>
            <w:vAlign w:val="bottom"/>
          </w:tcPr>
          <w:p>
            <w:pPr>
              <w:spacing w:after="0"/>
              <w:rPr>
                <w:sz w:val="1"/>
                <w:szCs w:val="1"/>
                <w:color w:val="auto"/>
              </w:rPr>
            </w:pPr>
          </w:p>
        </w:tc>
      </w:tr>
      <w:tr>
        <w:trPr>
          <w:trHeight w:val="92"/>
        </w:trPr>
        <w:tc>
          <w:tcPr>
            <w:tcW w:w="22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53409"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2019-12-24T08:02:36Z</dcterms:created>
  <dcterms:modified xsi:type="dcterms:W3CDTF">2019-12-24T08:02:36Z</dcterms:modified>
</cp:coreProperties>
</file>