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4871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717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7"/>
        <w:spacing w:after="0"/>
        <w:rPr>
          <w:sz w:val="20"/>
          <w:szCs w:val="20"/>
          <w:color w:val="auto"/>
        </w:rPr>
      </w:pPr>
      <w:r>
        <w:rPr>
          <w:rFonts w:ascii="Arial" w:cs="Arial" w:eastAsia="Arial" w:hAnsi="Arial"/>
          <w:sz w:val="17"/>
          <w:szCs w:val="17"/>
          <w:color w:val="0000FF"/>
        </w:rPr>
        <w:t>General Counsel</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6"/>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11/15/2018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2,066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23.56</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206,031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rPr>
              <w:t>3,786</w:t>
            </w:r>
            <w:r>
              <w:rPr>
                <w:rFonts w:ascii="Arial" w:cs="Arial" w:eastAsia="Arial" w:hAnsi="Arial"/>
                <w:sz w:val="22"/>
                <w:szCs w:val="22"/>
                <w:color w:val="008000"/>
                <w:vertAlign w:val="superscript"/>
              </w:rPr>
              <w:t>(1)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3,786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3"/>
                <w:szCs w:val="13"/>
                <w:color w:val="0000FF"/>
              </w:rPr>
              <w:t>289,832</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11/15/2018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23.56</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50" w:lineRule="exact"/>
        <w:rPr>
          <w:rFonts w:ascii="Arial" w:cs="Arial" w:eastAsia="Arial" w:hAnsi="Arial"/>
          <w:sz w:val="13"/>
          <w:szCs w:val="13"/>
          <w:color w:val="008000"/>
        </w:rPr>
      </w:pPr>
    </w:p>
    <w:p>
      <w:pPr>
        <w:ind w:left="40" w:right="2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B Common Stock, subject to the applicable vesting schedule through August 15, 2019. In the event the Reporting Person ceases to be a Service Provider, any then unvested restricted stock units will be cancelled by the Issuer.</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11/19/2018</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2019-12-24T07:51:19Z</dcterms:created>
  <dcterms:modified xsi:type="dcterms:W3CDTF">2019-12-24T07:51:19Z</dcterms:modified>
</cp:coreProperties>
</file>