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4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-247650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5064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64760"/>
                    </a:xfrm>
                    <a:prstGeom prst="rect">
                      <a:avLst/>
                    </a:prstGeom>
                    <a:noFill/>
                  </pic:spPr>
                </pic:pic>
              </a:graphicData>
            </a:graphic>
          </wp:anchor>
        </w:drawing>
      </w:r>
    </w:p>
    <w:p>
      <w:pPr>
        <w:spacing w:after="0" w:line="54" w:lineRule="exact"/>
        <w:rPr>
          <w:sz w:val="24"/>
          <w:szCs w:val="24"/>
          <w:color w:val="auto"/>
        </w:rPr>
      </w:pPr>
    </w:p>
    <w:p>
      <w:pPr>
        <w:sectPr>
          <w:pgSz w:w="11900" w:h="16838" w:orient="portrait"/>
          <w:cols w:equalWidth="0" w:num="2">
            <w:col w:w="2360" w:space="300"/>
            <w:col w:w="8860"/>
          </w:cols>
          <w:pgMar w:left="240" w:top="219"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0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6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Rice Condoleezza</w:t>
              </w:r>
            </w:hyperlink>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gridSpan w:val="6"/>
          </w:tcPr>
          <w:p>
            <w:pPr>
              <w:ind w:left="60"/>
              <w:spacing w:after="0" w:line="175"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DROPBOX,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DBX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5"/>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gridSpan w:val="3"/>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62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0000EE"/>
            </w:tcBorders>
          </w:tcPr>
          <w:p>
            <w:pPr>
              <w:spacing w:after="0"/>
              <w:rPr>
                <w:sz w:val="9"/>
                <w:szCs w:val="9"/>
                <w:color w:val="auto"/>
              </w:rPr>
            </w:pPr>
          </w:p>
        </w:tc>
        <w:tc>
          <w:tcPr>
            <w:tcW w:w="600" w:type="dxa"/>
            <w:vAlign w:val="bottom"/>
            <w:tcBorders>
              <w:top w:val="single" w:sz="8" w:color="0000EE"/>
            </w:tcBorders>
          </w:tcPr>
          <w:p>
            <w:pPr>
              <w:spacing w:after="0"/>
              <w:rPr>
                <w:sz w:val="9"/>
                <w:szCs w:val="9"/>
                <w:color w:val="auto"/>
              </w:rPr>
            </w:pPr>
          </w:p>
        </w:tc>
        <w:tc>
          <w:tcPr>
            <w:tcW w:w="200" w:type="dxa"/>
            <w:vAlign w:val="bottom"/>
            <w:tcBorders>
              <w:top w:val="single" w:sz="8" w:color="0000EE"/>
            </w:tcBorders>
          </w:tcPr>
          <w:p>
            <w:pPr>
              <w:spacing w:after="0"/>
              <w:rPr>
                <w:sz w:val="9"/>
                <w:szCs w:val="9"/>
                <w:color w:val="auto"/>
              </w:rPr>
            </w:pPr>
          </w:p>
        </w:tc>
        <w:tc>
          <w:tcPr>
            <w:tcW w:w="140" w:type="dxa"/>
            <w:vAlign w:val="bottom"/>
            <w:tcBorders>
              <w:top w:val="single" w:sz="8" w:color="0000EE"/>
            </w:tcBorders>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gridSpan w:val="3"/>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6"/>
                <w:szCs w:val="6"/>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9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10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15"/>
                <w:szCs w:val="15"/>
                <w:color w:val="auto"/>
              </w:rPr>
            </w:pPr>
          </w:p>
        </w:tc>
        <w:tc>
          <w:tcPr>
            <w:tcW w:w="132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14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gridSpan w:val="7"/>
            <w:vMerge w:val="continue"/>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ind w:left="1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333 BRANNAN STREET</w:t>
            </w:r>
          </w:p>
        </w:tc>
        <w:tc>
          <w:tcPr>
            <w:tcW w:w="1140" w:type="dxa"/>
            <w:vAlign w:val="bottom"/>
          </w:tcPr>
          <w:p>
            <w:pPr>
              <w:spacing w:after="0"/>
              <w:rPr>
                <w:sz w:val="19"/>
                <w:szCs w:val="19"/>
                <w:color w:val="auto"/>
              </w:rPr>
            </w:pPr>
          </w:p>
        </w:tc>
        <w:tc>
          <w:tcPr>
            <w:tcW w:w="17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05/15/2018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560" w:type="dxa"/>
            <w:vAlign w:val="bottom"/>
            <w:tcBorders>
              <w:bottom w:val="single" w:sz="8" w:color="2C2C2C"/>
            </w:tcBorders>
            <w:gridSpan w:val="3"/>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100" w:type="dxa"/>
            <w:vAlign w:val="bottom"/>
            <w:tcBorders>
              <w:bottom w:val="single" w:sz="8" w:color="2C2C2C"/>
            </w:tcBorders>
            <w:gridSpan w:val="3"/>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7"/>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980" w:type="dxa"/>
            <w:vAlign w:val="bottom"/>
            <w:tcBorders>
              <w:bottom w:val="single" w:sz="8" w:color="9A9A9A"/>
            </w:tcBorders>
          </w:tcPr>
          <w:p>
            <w:pPr>
              <w:spacing w:after="0"/>
              <w:rPr>
                <w:sz w:val="4"/>
                <w:szCs w:val="4"/>
                <w:color w:val="auto"/>
              </w:rPr>
            </w:pPr>
          </w:p>
        </w:tc>
        <w:tc>
          <w:tcPr>
            <w:tcW w:w="1140" w:type="dxa"/>
            <w:vAlign w:val="bottom"/>
            <w:tcBorders>
              <w:bottom w:val="single" w:sz="8" w:color="9A9A9A"/>
            </w:tcBorders>
          </w:tcPr>
          <w:p>
            <w:pPr>
              <w:spacing w:after="0"/>
              <w:rPr>
                <w:sz w:val="4"/>
                <w:szCs w:val="4"/>
                <w:color w:val="auto"/>
              </w:rPr>
            </w:pPr>
          </w:p>
        </w:tc>
        <w:tc>
          <w:tcPr>
            <w:tcW w:w="100" w:type="dxa"/>
            <w:vAlign w:val="bottom"/>
            <w:tcBorders>
              <w:bottom w:val="single" w:sz="8" w:color="9A9A9A"/>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374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vMerge w:val="restart"/>
          </w:tcPr>
          <w:p>
            <w:pPr>
              <w:spacing w:after="0"/>
              <w:rPr>
                <w:sz w:val="4"/>
                <w:szCs w:val="4"/>
                <w:color w:val="auto"/>
              </w:rPr>
            </w:pPr>
          </w:p>
        </w:tc>
        <w:tc>
          <w:tcPr>
            <w:tcW w:w="356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3740" w:type="dxa"/>
            <w:vAlign w:val="bottom"/>
            <w:gridSpan w:val="8"/>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356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600" w:type="dxa"/>
            <w:vAlign w:val="bottom"/>
          </w:tcPr>
          <w:p>
            <w:pPr>
              <w:spacing w:after="0"/>
              <w:rPr>
                <w:sz w:val="18"/>
                <w:szCs w:val="18"/>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94107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60" w:type="dxa"/>
            <w:vAlign w:val="bottom"/>
            <w:gridSpan w:val="10"/>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20" w:type="dxa"/>
            <w:vAlign w:val="bottom"/>
            <w:gridSpan w:val="3"/>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6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132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14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3"/>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7400" w:type="dxa"/>
            <w:vAlign w:val="bottom"/>
            <w:tcBorders>
              <w:top w:val="single" w:sz="8" w:color="2C2C2C"/>
            </w:tcBorders>
            <w:gridSpan w:val="17"/>
          </w:tcPr>
          <w:p>
            <w:pPr>
              <w:ind w:left="7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3"/>
                <w:szCs w:val="23"/>
                <w:color w:val="auto"/>
              </w:rPr>
            </w:pPr>
          </w:p>
        </w:tc>
        <w:tc>
          <w:tcPr>
            <w:tcW w:w="30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line="130"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00" w:type="dxa"/>
            <w:vAlign w:val="bottom"/>
            <w:gridSpan w:val="6"/>
          </w:tcPr>
          <w:p>
            <w:pPr>
              <w:ind w:left="40"/>
              <w:spacing w:after="0" w:line="130" w:lineRule="exact"/>
              <w:rPr>
                <w:sz w:val="20"/>
                <w:szCs w:val="20"/>
                <w:color w:val="auto"/>
              </w:rPr>
            </w:pPr>
            <w:r>
              <w:rPr>
                <w:rFonts w:ascii="Arial" w:cs="Arial" w:eastAsia="Arial" w:hAnsi="Arial"/>
                <w:sz w:val="12"/>
                <w:szCs w:val="12"/>
                <w:b w:val="1"/>
                <w:bCs w:val="1"/>
                <w:color w:val="auto"/>
              </w:rPr>
              <w:t>Transaction  Disposed Of (D) (Instr. 3, 4 and</w:t>
            </w:r>
          </w:p>
        </w:tc>
        <w:tc>
          <w:tcPr>
            <w:tcW w:w="12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900" w:type="dxa"/>
            <w:vAlign w:val="bottom"/>
            <w:gridSpan w:val="5"/>
          </w:tcPr>
          <w:p>
            <w:pPr>
              <w:ind w:left="78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60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jc w:val="right"/>
              <w:ind w:right="176"/>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00" w:type="dxa"/>
            <w:vAlign w:val="bottom"/>
            <w:tcBorders>
              <w:bottom w:val="single" w:sz="8" w:color="2C2C2C"/>
            </w:tcBorders>
            <w:gridSpan w:val="5"/>
          </w:tcPr>
          <w:p>
            <w:pPr>
              <w:jc w:val="center"/>
              <w:ind w:left="572"/>
              <w:spacing w:after="0"/>
              <w:rPr>
                <w:sz w:val="20"/>
                <w:szCs w:val="20"/>
                <w:color w:val="auto"/>
              </w:rPr>
            </w:pPr>
            <w:r>
              <w:rPr>
                <w:rFonts w:ascii="Times New Roman" w:cs="Times New Roman" w:eastAsia="Times New Roman" w:hAnsi="Times New Roman"/>
                <w:sz w:val="17"/>
                <w:szCs w:val="17"/>
                <w:color w:val="0000FF"/>
              </w:rPr>
              <w:t>05/15/2018</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53,333</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4"/>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r>
              <w:rPr>
                <w:rFonts w:ascii="Times New Roman" w:cs="Times New Roman" w:eastAsia="Times New Roman" w:hAnsi="Times New Roman"/>
                <w:sz w:val="22"/>
                <w:szCs w:val="22"/>
                <w:color w:val="008000"/>
                <w:vertAlign w:val="superscript"/>
              </w:rPr>
              <w:t>(1)</w:t>
            </w:r>
          </w:p>
        </w:tc>
        <w:tc>
          <w:tcPr>
            <w:tcW w:w="122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92,052</w:t>
            </w:r>
            <w:r>
              <w:rPr>
                <w:rFonts w:ascii="Times New Roman" w:cs="Times New Roman" w:eastAsia="Times New Roman" w:hAnsi="Times New Roman"/>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7"/>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80" w:type="dxa"/>
            <w:vAlign w:val="bottom"/>
            <w:gridSpan w:val="14"/>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9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3"/>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6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continue"/>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6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60" w:type="dxa"/>
            <w:vAlign w:val="bottom"/>
            <w:gridSpan w:val="3"/>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Class A</w:t>
            </w:r>
          </w:p>
        </w:tc>
        <w:tc>
          <w:tcPr>
            <w:tcW w:w="5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53,333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right"/>
              <w:ind w:right="153"/>
              <w:spacing w:after="0" w:line="148" w:lineRule="exact"/>
              <w:rPr>
                <w:sz w:val="20"/>
                <w:szCs w:val="20"/>
                <w:color w:val="auto"/>
              </w:rPr>
            </w:pPr>
            <w:r>
              <w:rPr>
                <w:rFonts w:ascii="Times New Roman" w:cs="Times New Roman" w:eastAsia="Times New Roman" w:hAnsi="Times New Roman"/>
                <w:sz w:val="13"/>
                <w:szCs w:val="13"/>
                <w:color w:val="0000FF"/>
              </w:rPr>
              <w:t>05/15/2018</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ind w:left="80"/>
              <w:spacing w:after="0" w:line="148" w:lineRule="exact"/>
              <w:rPr>
                <w:sz w:val="20"/>
                <w:szCs w:val="20"/>
                <w:color w:val="auto"/>
              </w:rPr>
            </w:pPr>
            <w:r>
              <w:rPr>
                <w:rFonts w:ascii="Times New Roman" w:cs="Times New Roman" w:eastAsia="Times New Roman" w:hAnsi="Times New Roman"/>
                <w:sz w:val="13"/>
                <w:szCs w:val="13"/>
                <w:color w:val="0000FF"/>
              </w:rPr>
              <w:t>C</w:t>
            </w:r>
          </w:p>
        </w:tc>
        <w:tc>
          <w:tcPr>
            <w:tcW w:w="940" w:type="dxa"/>
            <w:vAlign w:val="bottom"/>
          </w:tcPr>
          <w:p>
            <w:pPr>
              <w:ind w:left="480"/>
              <w:spacing w:after="0" w:line="148" w:lineRule="exact"/>
              <w:rPr>
                <w:sz w:val="20"/>
                <w:szCs w:val="20"/>
                <w:color w:val="auto"/>
              </w:rPr>
            </w:pPr>
            <w:r>
              <w:rPr>
                <w:rFonts w:ascii="Times New Roman" w:cs="Times New Roman" w:eastAsia="Times New Roman" w:hAnsi="Times New Roman"/>
                <w:sz w:val="13"/>
                <w:szCs w:val="13"/>
                <w:color w:val="0000FF"/>
              </w:rPr>
              <w:t>53,333</w:t>
            </w:r>
          </w:p>
        </w:tc>
        <w:tc>
          <w:tcPr>
            <w:tcW w:w="860" w:type="dxa"/>
            <w:vAlign w:val="bottom"/>
            <w:gridSpan w:val="3"/>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spacing w:after="0" w:line="148"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ind w:left="40"/>
              <w:spacing w:after="0" w:line="148"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w:t>
            </w:r>
          </w:p>
        </w:tc>
        <w:tc>
          <w:tcPr>
            <w:tcW w:w="600" w:type="dxa"/>
            <w:vAlign w:val="bottom"/>
          </w:tcPr>
          <w:p>
            <w:pPr>
              <w:ind w:left="300"/>
              <w:spacing w:after="0" w:line="148" w:lineRule="exact"/>
              <w:rPr>
                <w:sz w:val="20"/>
                <w:szCs w:val="20"/>
                <w:color w:val="auto"/>
              </w:rPr>
            </w:pPr>
            <w:r>
              <w:rPr>
                <w:rFonts w:ascii="Times New Roman" w:cs="Times New Roman" w:eastAsia="Times New Roman" w:hAnsi="Times New Roman"/>
                <w:sz w:val="13"/>
                <w:szCs w:val="13"/>
                <w:color w:val="0000FF"/>
              </w:rPr>
              <w:t>0.00</w:t>
            </w:r>
          </w:p>
        </w:tc>
        <w:tc>
          <w:tcPr>
            <w:tcW w:w="30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0000FF"/>
              </w:rPr>
              <w:t>Stock</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53,333 shares of Class B Common Stock were converted into 53,333 shares of Class A Common Stock at the election of the Reporting Person and had no expiration date.</w:t>
      </w:r>
    </w:p>
    <w:p>
      <w:pPr>
        <w:spacing w:after="0" w:line="51" w:lineRule="exact"/>
        <w:rPr>
          <w:rFonts w:ascii="Times New Roman" w:cs="Times New Roman" w:eastAsia="Times New Roman" w:hAnsi="Times New Roman"/>
          <w:sz w:val="13"/>
          <w:szCs w:val="13"/>
          <w:color w:val="008000"/>
        </w:rPr>
      </w:pPr>
    </w:p>
    <w:p>
      <w:pPr>
        <w:ind w:left="40" w:right="200" w:firstLine="8"/>
        <w:spacing w:after="0" w:line="256" w:lineRule="auto"/>
        <w:tabs>
          <w:tab w:leader="none" w:pos="174"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units. Each restricted stock unit represents the Reporting Person's right to receive one share of Class A Common Stock, subject to the applicable vesting schedule through the earlier of May 15, 2019 or the date of the Issuer's next annual meeting of stockholders. In the event the Reporting Person ceases to be a Service Provider, the unvested restricted stock units will be cancelled by the Issuer.</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0"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Mary Anne Becking,</w:t>
            </w: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05/17/2018</w:t>
            </w:r>
          </w:p>
        </w:tc>
        <w:tc>
          <w:tcPr>
            <w:tcW w:w="0" w:type="dxa"/>
            <w:vAlign w:val="bottom"/>
          </w:tcPr>
          <w:p>
            <w:pPr>
              <w:spacing w:after="0"/>
              <w:rPr>
                <w:sz w:val="1"/>
                <w:szCs w:val="1"/>
                <w:color w:val="auto"/>
              </w:rPr>
            </w:pPr>
          </w:p>
        </w:tc>
      </w:tr>
      <w:tr>
        <w:trPr>
          <w:trHeight w:val="92"/>
        </w:trPr>
        <w:tc>
          <w:tcPr>
            <w:tcW w:w="120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0000FF"/>
              </w:rPr>
              <w:t>Attorney-In-Fact</w:t>
            </w:r>
          </w:p>
        </w:tc>
        <w:tc>
          <w:tcPr>
            <w:tcW w:w="480" w:type="dxa"/>
            <w:vAlign w:val="bottom"/>
            <w:tcBorders>
              <w:top w:val="single" w:sz="8" w:color="auto"/>
              <w:bottom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200" w:type="dxa"/>
            <w:vAlign w:val="bottom"/>
            <w:tcBorders>
              <w:bottom w:val="single" w:sz="8" w:color="auto"/>
            </w:tcBorders>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2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2838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2019-12-07T16:33:21Z</dcterms:created>
  <dcterms:modified xsi:type="dcterms:W3CDTF">2019-12-07T16:33:21Z</dcterms:modified>
</cp:coreProperties>
</file>