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45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5719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05/15/2018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7"/>
        <w:spacing w:after="0"/>
        <w:rPr>
          <w:sz w:val="20"/>
          <w:szCs w:val="20"/>
          <w:color w:val="auto"/>
        </w:rPr>
      </w:pPr>
      <w:r>
        <w:rPr>
          <w:rFonts w:ascii="Arial" w:cs="Arial" w:eastAsia="Arial" w:hAnsi="Arial"/>
          <w:sz w:val="17"/>
          <w:szCs w:val="17"/>
          <w:color w:val="0000FF"/>
        </w:rPr>
        <w:t>Chief Accounting Officer</w:t>
      </w:r>
    </w:p>
    <w:p>
      <w:pPr>
        <w:spacing w:after="0" w:line="33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6"/>
          </w:tcPr>
          <w:p>
            <w:pPr>
              <w:jc w:val="center"/>
              <w:ind w:right="54"/>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05/15/2018</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1,089</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29.96</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78,362</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05/15/2018</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right"/>
              <w:ind w:right="15"/>
              <w:spacing w:after="0"/>
              <w:rPr>
                <w:sz w:val="20"/>
                <w:szCs w:val="20"/>
                <w:color w:val="auto"/>
              </w:rPr>
            </w:pPr>
            <w:r>
              <w:rPr>
                <w:rFonts w:ascii="Arial" w:cs="Arial" w:eastAsia="Arial" w:hAnsi="Arial"/>
                <w:sz w:val="17"/>
                <w:szCs w:val="17"/>
                <w:color w:val="0000FF"/>
              </w:rPr>
              <w:t>4,088</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0.00</w:t>
            </w:r>
            <w:r>
              <w:rPr>
                <w:rFonts w:ascii="Arial" w:cs="Arial" w:eastAsia="Arial" w:hAnsi="Arial"/>
                <w:sz w:val="22"/>
                <w:szCs w:val="22"/>
                <w:color w:val="008000"/>
                <w:w w:val="99"/>
                <w:vertAlign w:val="superscript"/>
              </w:rPr>
              <w:t>(3)</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82,450</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5"/>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3"/>
                <w:szCs w:val="13"/>
                <w:color w:val="0000FF"/>
              </w:rPr>
              <w:t>2,162</w:t>
            </w:r>
            <w:r>
              <w:rPr>
                <w:rFonts w:ascii="Arial" w:cs="Arial" w:eastAsia="Arial" w:hAnsi="Arial"/>
                <w:sz w:val="22"/>
                <w:szCs w:val="22"/>
                <w:color w:val="008000"/>
                <w:vertAlign w:val="superscript"/>
              </w:rPr>
              <w:t>(1)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(4)</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2,162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66,588</w:t>
            </w:r>
            <w:r>
              <w:rPr>
                <w:rFonts w:ascii="Arial" w:cs="Arial" w:eastAsia="Arial" w:hAnsi="Arial"/>
                <w:sz w:val="22"/>
                <w:szCs w:val="22"/>
                <w:color w:val="008000"/>
                <w:vertAlign w:val="superscript"/>
              </w:rPr>
              <w:t>(5)</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05/15/2018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55"/>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29.96</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4,088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62,500</w:t>
            </w:r>
            <w:r>
              <w:rPr>
                <w:rFonts w:ascii="Arial" w:cs="Arial" w:eastAsia="Arial" w:hAnsi="Arial"/>
                <w:sz w:val="22"/>
                <w:szCs w:val="22"/>
                <w:color w:val="008000"/>
                <w:vertAlign w:val="superscript"/>
              </w:rPr>
              <w:t>(5)</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05/15/2018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C</w:t>
            </w:r>
          </w:p>
        </w:tc>
        <w:tc>
          <w:tcPr>
            <w:tcW w:w="1020" w:type="dxa"/>
            <w:vAlign w:val="bottom"/>
          </w:tcPr>
          <w:p>
            <w:pPr>
              <w:jc w:val="right"/>
              <w:ind w:right="119"/>
              <w:spacing w:after="0" w:line="148" w:lineRule="exact"/>
              <w:rPr>
                <w:sz w:val="20"/>
                <w:szCs w:val="20"/>
                <w:color w:val="auto"/>
              </w:rPr>
            </w:pPr>
            <w:r>
              <w:rPr>
                <w:rFonts w:ascii="Arial" w:cs="Arial" w:eastAsia="Arial" w:hAnsi="Arial"/>
                <w:sz w:val="13"/>
                <w:szCs w:val="13"/>
                <w:color w:val="0000FF"/>
              </w:rPr>
              <w:t>4,088</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95"/>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February 15, 2022. In the event the Reporting Person ceases to be a Service Provider, any then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4,088 shares of Class B Common Stock were converted into 4,088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50" w:lineRule="exact"/>
        <w:rPr>
          <w:rFonts w:ascii="Arial" w:cs="Arial" w:eastAsia="Arial" w:hAnsi="Arial"/>
          <w:sz w:val="13"/>
          <w:szCs w:val="13"/>
          <w:color w:val="008000"/>
        </w:rPr>
      </w:pPr>
    </w:p>
    <w:p>
      <w:pPr>
        <w:ind w:left="40" w:right="3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November 15, 2020. In the event the Reporting Person ceases to be a Service Provider, any then unvested restricted stock units will be cancelled by the Issuer.</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Bart E. Volkmer, Attorney-</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05/17/2018</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2019-12-07T16:52:01Z</dcterms:created>
  <dcterms:modified xsi:type="dcterms:W3CDTF">2019-12-07T16:52:01Z</dcterms:modified>
</cp:coreProperties>
</file>