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Rice Condoleezza</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30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DROPBOX,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DBX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4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60" w:type="dxa"/>
            <w:vAlign w:val="bottom"/>
            <w:tcBorders>
              <w:top w:val="single" w:sz="8" w:color="0000EE"/>
            </w:tcBorders>
          </w:tcPr>
          <w:p>
            <w:pPr>
              <w:spacing w:after="0"/>
              <w:rPr>
                <w:sz w:val="8"/>
                <w:szCs w:val="8"/>
                <w:color w:val="auto"/>
              </w:rPr>
            </w:pPr>
          </w:p>
        </w:tc>
        <w:tc>
          <w:tcPr>
            <w:tcW w:w="9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96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7"/>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7"/>
            <w:vMerge w:val="continue"/>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333 BRANNAN STREET</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20" w:type="dxa"/>
            <w:vAlign w:val="bottom"/>
            <w:gridSpan w:val="5"/>
          </w:tcPr>
          <w:p>
            <w:pPr>
              <w:ind w:left="160"/>
              <w:spacing w:after="0"/>
              <w:rPr>
                <w:sz w:val="20"/>
                <w:szCs w:val="20"/>
                <w:color w:val="auto"/>
              </w:rPr>
            </w:pPr>
            <w:r>
              <w:rPr>
                <w:rFonts w:ascii="Arial" w:cs="Arial" w:eastAsia="Arial" w:hAnsi="Arial"/>
                <w:sz w:val="18"/>
                <w:szCs w:val="18"/>
                <w:color w:val="0000FF"/>
              </w:rPr>
              <w:t>05/23/2019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540" w:type="dxa"/>
            <w:vAlign w:val="bottom"/>
            <w:tcBorders>
              <w:bottom w:val="single" w:sz="8" w:color="2C2C2C"/>
            </w:tcBorders>
            <w:gridSpan w:val="4"/>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2180" w:type="dxa"/>
            <w:vAlign w:val="bottom"/>
            <w:tcBorders>
              <w:bottom w:val="single" w:sz="8" w:color="2C2C2C"/>
            </w:tcBorders>
            <w:gridSpan w:val="4"/>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3240" w:type="dxa"/>
            <w:vAlign w:val="bottom"/>
            <w:tcBorders>
              <w:bottom w:val="single" w:sz="8" w:color="2C2C2C"/>
            </w:tcBorders>
            <w:gridSpan w:val="5"/>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28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960" w:type="dxa"/>
            <w:vAlign w:val="bottom"/>
            <w:tcBorders>
              <w:bottom w:val="single" w:sz="8" w:color="9A9A9A"/>
            </w:tcBorders>
          </w:tcPr>
          <w:p>
            <w:pPr>
              <w:spacing w:after="0"/>
              <w:rPr>
                <w:sz w:val="4"/>
                <w:szCs w:val="4"/>
                <w:color w:val="auto"/>
              </w:rPr>
            </w:pPr>
          </w:p>
        </w:tc>
        <w:tc>
          <w:tcPr>
            <w:tcW w:w="120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4"/>
                <w:szCs w:val="4"/>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9"/>
            <w:vMerge w:val="continue"/>
          </w:tcPr>
          <w:p>
            <w:pPr>
              <w:spacing w:after="0"/>
              <w:rPr>
                <w:sz w:val="11"/>
                <w:szCs w:val="11"/>
                <w:color w:val="auto"/>
              </w:rPr>
            </w:pPr>
          </w:p>
        </w:tc>
        <w:tc>
          <w:tcPr>
            <w:tcW w:w="160" w:type="dxa"/>
            <w:vAlign w:val="bottom"/>
          </w:tcPr>
          <w:p>
            <w:pPr>
              <w:spacing w:after="0"/>
              <w:rPr>
                <w:sz w:val="11"/>
                <w:szCs w:val="11"/>
                <w:color w:val="auto"/>
              </w:rPr>
            </w:pPr>
          </w:p>
        </w:tc>
        <w:tc>
          <w:tcPr>
            <w:tcW w:w="34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gridSpan w:val="2"/>
          </w:tcPr>
          <w:p>
            <w:pPr>
              <w:ind w:left="80"/>
              <w:spacing w:after="0" w:line="155" w:lineRule="exact"/>
              <w:rPr>
                <w:sz w:val="20"/>
                <w:szCs w:val="20"/>
                <w:color w:val="auto"/>
              </w:rPr>
            </w:pPr>
            <w:r>
              <w:rPr>
                <w:rFonts w:ascii="Arial" w:cs="Arial" w:eastAsia="Arial" w:hAnsi="Arial"/>
                <w:sz w:val="14"/>
                <w:szCs w:val="14"/>
                <w:color w:val="auto"/>
              </w:rPr>
              <w:t>Line)</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0000FF"/>
              </w:rPr>
              <w:t>SAN</w:t>
            </w:r>
          </w:p>
        </w:tc>
        <w:tc>
          <w:tcPr>
            <w:tcW w:w="600" w:type="dxa"/>
            <w:vAlign w:val="bottom"/>
          </w:tcPr>
          <w:p>
            <w:pPr>
              <w:spacing w:after="0"/>
              <w:rPr>
                <w:sz w:val="18"/>
                <w:szCs w:val="18"/>
                <w:color w:val="auto"/>
              </w:rPr>
            </w:pP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87"/>
              </w:rPr>
              <w:t>CA</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94107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FRANCISCO</w:t>
            </w:r>
          </w:p>
        </w:tc>
        <w:tc>
          <w:tcPr>
            <w:tcW w:w="28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96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2"/>
          </w:tcPr>
          <w:p>
            <w:pPr>
              <w:ind w:left="16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234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00" w:type="dxa"/>
            <w:vAlign w:val="bottom"/>
            <w:tcBorders>
              <w:top w:val="single" w:sz="8" w:color="2C2C2C"/>
            </w:tcBorders>
            <w:gridSpan w:val="19"/>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5"/>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40" w:type="dxa"/>
            <w:vAlign w:val="bottom"/>
            <w:gridSpan w:val="5"/>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3"/>
            <w:vMerge w:val="restart"/>
          </w:tcPr>
          <w:p>
            <w:pPr>
              <w:jc w:val="right"/>
              <w:ind w:right="21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rPr>
              <w:t>Class A Common Stock</w:t>
            </w:r>
          </w:p>
        </w:tc>
        <w:tc>
          <w:tcPr>
            <w:tcW w:w="1840" w:type="dxa"/>
            <w:vAlign w:val="bottom"/>
            <w:tcBorders>
              <w:bottom w:val="single" w:sz="8" w:color="2C2C2C"/>
            </w:tcBorders>
            <w:gridSpan w:val="5"/>
          </w:tcPr>
          <w:p>
            <w:pPr>
              <w:ind w:left="860"/>
              <w:spacing w:after="0"/>
              <w:rPr>
                <w:sz w:val="20"/>
                <w:szCs w:val="20"/>
                <w:color w:val="auto"/>
              </w:rPr>
            </w:pPr>
            <w:r>
              <w:rPr>
                <w:rFonts w:ascii="Arial" w:cs="Arial" w:eastAsia="Arial" w:hAnsi="Arial"/>
                <w:sz w:val="18"/>
                <w:szCs w:val="18"/>
                <w:color w:val="0000FF"/>
              </w:rPr>
              <w:t>05/23/2019</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60"/>
              <w:spacing w:after="0"/>
              <w:rPr>
                <w:sz w:val="20"/>
                <w:szCs w:val="20"/>
                <w:color w:val="auto"/>
              </w:rPr>
            </w:pPr>
            <w:r>
              <w:rPr>
                <w:rFonts w:ascii="Arial" w:cs="Arial" w:eastAsia="Arial" w:hAnsi="Arial"/>
                <w:sz w:val="14"/>
                <w:szCs w:val="14"/>
                <w:color w:val="0000FF"/>
              </w:rPr>
              <w:t>A</w:t>
            </w:r>
          </w:p>
        </w:tc>
        <w:tc>
          <w:tcPr>
            <w:tcW w:w="110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13,298</w:t>
            </w:r>
            <w:r>
              <w:rPr>
                <w:rFonts w:ascii="Arial" w:cs="Arial" w:eastAsia="Arial" w:hAnsi="Arial"/>
                <w:sz w:val="22"/>
                <w:szCs w:val="22"/>
                <w:color w:val="008000"/>
                <w:vertAlign w:val="superscript"/>
              </w:rPr>
              <w:t>(1)</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40" w:type="dxa"/>
            <w:vAlign w:val="bottom"/>
            <w:tcBorders>
              <w:bottom w:val="single" w:sz="8" w:color="2C2C2C"/>
            </w:tcBorders>
            <w:gridSpan w:val="3"/>
          </w:tcPr>
          <w:p>
            <w:pPr>
              <w:jc w:val="right"/>
              <w:ind w:right="5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0.00</w:t>
            </w: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80,350</w:t>
            </w:r>
            <w:r>
              <w:rPr>
                <w:rFonts w:ascii="Arial" w:cs="Arial" w:eastAsia="Arial" w:hAnsi="Arial"/>
                <w:sz w:val="22"/>
                <w:szCs w:val="22"/>
                <w:color w:val="008000"/>
                <w:vertAlign w:val="superscript"/>
              </w:rPr>
              <w:t>(2)</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8"/>
          </w:tcPr>
          <w:p>
            <w:pPr>
              <w:jc w:val="center"/>
              <w:ind w:left="73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800" w:type="dxa"/>
            <w:vAlign w:val="bottom"/>
            <w:gridSpan w:val="16"/>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gridSpan w:val="4"/>
          </w:tcPr>
          <w:p>
            <w:pPr>
              <w:ind w:left="10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8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80" w:type="dxa"/>
            <w:vAlign w:val="bottom"/>
            <w:gridSpan w:val="4"/>
          </w:tcPr>
          <w:p>
            <w:pPr>
              <w:ind w:left="100"/>
              <w:spacing w:after="0"/>
              <w:rPr>
                <w:sz w:val="20"/>
                <w:szCs w:val="20"/>
                <w:color w:val="auto"/>
              </w:rPr>
            </w:pPr>
            <w:r>
              <w:rPr>
                <w:rFonts w:ascii="Arial" w:cs="Arial" w:eastAsia="Arial" w:hAnsi="Arial"/>
                <w:sz w:val="12"/>
                <w:szCs w:val="12"/>
                <w:b w:val="1"/>
                <w:bCs w:val="1"/>
                <w:color w:val="auto"/>
              </w:rPr>
              <w:t>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These securities are restricted stock units. Each restricted stock unit represents the Reporting Person's right to receive one share of Class A Common Stock. The restricted stock units vest in full on the earlier of May 23, 2020 or the day prior to the date of the Issuer's next annual meeting of stockholders.</w:t>
      </w:r>
    </w:p>
    <w:p>
      <w:pPr>
        <w:spacing w:after="0" w:line="30" w:lineRule="exact"/>
        <w:rPr>
          <w:rFonts w:ascii="Arial" w:cs="Arial" w:eastAsia="Arial" w:hAnsi="Arial"/>
          <w:sz w:val="14"/>
          <w:szCs w:val="14"/>
          <w:color w:val="008000"/>
        </w:rPr>
      </w:pPr>
    </w:p>
    <w:p>
      <w:pPr>
        <w:ind w:left="40" w:right="24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Certain of these securities are restricted stock units. Each restricted stock unit represents the Reporting Person's right to receive one share of Class A Common Stock, subject to the applicable vesting schedule through May 23, 2020 or the day prior to the date of the Issuer's next annual meeting of stockholders. In the event the Reporting Person ceases to be a Service Provider, the unvested restricted stock units will be cancelled by the Issuer.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Mary Anne Becking,</w:t>
            </w:r>
          </w:p>
        </w:tc>
        <w:tc>
          <w:tcPr>
            <w:tcW w:w="42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05/28/2019</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Attorney-In-Fact</w:t>
            </w:r>
          </w:p>
        </w:tc>
        <w:tc>
          <w:tcPr>
            <w:tcW w:w="92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bottom w:val="single" w:sz="8" w:color="auto"/>
            </w:tcBorders>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28387"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2019-12-24T08:06:04Z</dcterms:created>
  <dcterms:modified xsi:type="dcterms:W3CDTF">2019-12-24T08:06:04Z</dcterms:modified>
</cp:coreProperties>
</file>