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48545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4854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Houston Andrew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45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DROPBOX,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DBX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1800 OWENS STREET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07/01/2025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SUITE 200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7" w:right="1080" w:hanging="7"/>
        <w:spacing w:after="0" w:line="281" w:lineRule="auto"/>
        <w:tabs>
          <w:tab w:leader="none" w:pos="122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0"/>
          <w:szCs w:val="20"/>
          <w:color w:val="auto"/>
        </w:rPr>
      </w:pPr>
    </w:p>
    <w:tbl>
      <w:tblPr>
        <w:tblLayout w:type="fixed"/>
        <w:tblInd w:w="52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ind w:right="7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Chief Executive Officer</w:t>
      </w:r>
    </w:p>
    <w:p>
      <w:pPr>
        <w:spacing w:after="0" w:line="46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700" w:space="53"/>
            <w:col w:w="3267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3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SAN FRANCISCO</w:t>
            </w: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94158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1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07/01/2025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jc w:val="center"/>
              <w:ind w:lef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  <w:w w:val="89"/>
              </w:rPr>
              <w:t>C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92,000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lef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92,000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07/01/2025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jc w:val="center"/>
              <w:ind w:lef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89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89"/>
              </w:rPr>
              <w:t>(3)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92,000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27.9565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w w:val="98"/>
                <w:vertAlign w:val="superscript"/>
              </w:rPr>
              <w:t>(4)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lef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2C2C2C"/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8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  <w:bottom w:val="single" w:sz="8" w:color="2C2C2C"/>
            </w:tcBorders>
            <w:gridSpan w:val="3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8,266,666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w w:val="98"/>
                <w:vertAlign w:val="superscript"/>
              </w:rPr>
              <w:t>(5)</w:t>
            </w:r>
          </w:p>
        </w:tc>
        <w:tc>
          <w:tcPr>
            <w:tcW w:w="3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lef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716,728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(6)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lef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444,444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(7)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8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jc w:val="center"/>
              <w:ind w:lef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Class B Common Stock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(8)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07/01/2025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92,000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(8)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Class A 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92,000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(8)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67,467,629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See foonote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  <w:w w:val="96"/>
              </w:rPr>
              <w:t>Stock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Class B Common Stock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(8)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(8)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Class A Common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lef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7,608,764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7,608,764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0000FF"/>
              </w:rPr>
              <w:t>Stock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5"/>
                <w:szCs w:val="5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6"/>
                <w:szCs w:val="6"/>
                <w:color w:val="008000"/>
                <w:vertAlign w:val="superscript"/>
              </w:rPr>
              <w:t>(6)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Class B Common Stock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(8)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(8)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Class A 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500,500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500,500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See foonote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(9)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  <w:w w:val="96"/>
              </w:rPr>
              <w:t>Stock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92,000 shares of Class B Common Stock were converted into 92,000 shares of Class A Common Stock at the election of the Reporting Person and had no expiration date.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Shares held by the Andrew Houston Revocable Trust u/a/d 9/7/2011, for which Reporting Person serves as trustee.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These shares were sold pursuant to a Rule 10b5-1 trading plan adopted by the Reporting Person on March 12, 2025.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40" w:hanging="6"/>
        <w:spacing w:after="0" w:line="278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This transaction was executed in multiple trades at prices ranging from $27.67 to $28.37.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3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80" w:hanging="6"/>
        <w:spacing w:after="0" w:line="278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These securities are restricted stock awards of Class A Common Stock. The restricted stock awards vest over a period of up to ten years following the closing of the Issuer's initial public offering of Class A Common Stock, or March 27, 2028, upon achievement of service-based, market-based, and liquidity event-related performance vesting conditions.</w:t>
      </w:r>
    </w:p>
    <w:p>
      <w:pPr>
        <w:spacing w:after="0" w:line="3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Shares held by the Houston Remainder Trust u/a/d 12/30/2010, for which Reporting Person serves as trustee.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Shares held by The Erin Yu Houston Revocable Trust u/a/d 1/18/2024, for which the Reporting Person's spouse serves as trustee.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 Issuer's Class B Common Stock is convertible into the Issuer's Class A Common Stock on a one-for-one basis at the Reporting Person's election and has no expiration date.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Shares held by the Houston 2012 Irrevocable Children's Trust u/a/d 4/12/2012, for which Reporting Person serves as trustee.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Cara Angelmar, Attorney-in-Fact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07/03/2025</w:t>
            </w: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1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34563" TargetMode="External"/><Relationship Id="rId14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2025-07-03T15:30:59Z</dcterms:created>
  <dcterms:modified xsi:type="dcterms:W3CDTF">2025-07-03T15:30:59Z</dcterms:modified>
</cp:coreProperties>
</file>