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30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30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04/01/2024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04/01/2024</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90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207,180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607,900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04/01/2024</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900" w:type="dxa"/>
            <w:vAlign w:val="bottom"/>
            <w:tcBorders>
              <w:bottom w:val="single" w:sz="8" w:color="2C2C2C"/>
            </w:tcBorders>
          </w:tcPr>
          <w:p>
            <w:pPr>
              <w:jc w:val="right"/>
              <w:ind w:right="211"/>
              <w:spacing w:after="0"/>
              <w:rPr>
                <w:sz w:val="20"/>
                <w:szCs w:val="20"/>
                <w:color w:val="auto"/>
              </w:rPr>
            </w:pPr>
            <w:r>
              <w:rPr>
                <w:rFonts w:ascii="Times New Roman" w:cs="Times New Roman" w:eastAsia="Times New Roman" w:hAnsi="Times New Roman"/>
                <w:sz w:val="17"/>
                <w:szCs w:val="17"/>
                <w:color w:val="0000FF"/>
              </w:rPr>
              <w:t>9,905</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24.3262</w:t>
            </w:r>
            <w:r>
              <w:rPr>
                <w:rFonts w:ascii="Times New Roman" w:cs="Times New Roman" w:eastAsia="Times New Roman" w:hAnsi="Times New Roman"/>
                <w:sz w:val="22"/>
                <w:szCs w:val="22"/>
                <w:color w:val="008000"/>
                <w:vertAlign w:val="superscript"/>
              </w:rPr>
              <w:t>(4)</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597,995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as to 1/16th of the shares on May 15, 2024 and each three-month anniversary thereafter through February 15, 2028.</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8, 2023</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$24.19 to $24.42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04/03/2024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2024-04-03T15:06:45Z</dcterms:created>
  <dcterms:modified xsi:type="dcterms:W3CDTF">2024-04-03T15:06:45Z</dcterms:modified>
</cp:coreProperties>
</file>