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Volkmer Bart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11/15/2024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35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11/15/2024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17,596</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27.67</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298,742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have been withheld by the Issuer to satisfy tax withholding and remittance obligations in connection with the vesting and net settlement of restricted stock units and restricted stock awards previously reported.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2028.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11/19/2024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Signature:</w:t>
        <w:tab/>
        <w:t>/s/ Bart Volkmer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39"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1/19/2021</w:t>
      </w:r>
    </w:p>
    <w:sectPr>
      <w:pgSz w:w="11900" w:h="16838" w:orient="portrait"/>
      <w:cols w:equalWidth="0" w:num="1">
        <w:col w:w="9999"/>
      </w:cols>
      <w:pgMar w:left="460" w:top="3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4437"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2024-11-19T15:23:27Z</dcterms:created>
  <dcterms:modified xsi:type="dcterms:W3CDTF">2024-11-19T15:23:27Z</dcterms:modified>
</cp:coreProperties>
</file>