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JENSON WARREN</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DROPBOX,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30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5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1800 OWENS STREET</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05/15/2025</w:t>
            </w: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200</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94158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gridSpan w:val="2"/>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9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4"/>
          </w:tcPr>
          <w:p>
            <w:pPr>
              <w:spacing w:after="0"/>
              <w:rPr>
                <w:sz w:val="10"/>
                <w:szCs w:val="10"/>
                <w:color w:val="auto"/>
              </w:rPr>
            </w:pPr>
          </w:p>
        </w:tc>
        <w:tc>
          <w:tcPr>
            <w:tcW w:w="22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05/15/2025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8,443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11,182</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in full on the earlier of May 15, 2026 or the day prior to the date of the Issuer's next annual meeting of stockholders.</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units. Each restricted stock unit represents the Reporting Person's right to receive one share of Class A Common Stock, subject to the applicable vesting schedule through May 15, 2026 or the day prior to the date of the Issuer's next annual meeting of stockholders. In the event the Reporting Person ceases to be a Service Provider, the unvested restricted stock units will be cancelled by the Issuer.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05/19/2025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3846"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2025-05-19T16:10:59Z</dcterms:created>
  <dcterms:modified xsi:type="dcterms:W3CDTF">2025-05-19T16:10:59Z</dcterms:modified>
</cp:coreProperties>
</file>