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Form 8-K</w:t>
      </w:r>
    </w:p>
    <w:p>
      <w:pPr>
        <w:spacing w:after="0" w:line="2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1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2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February 15, 2024</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w:t>
      </w:r>
    </w:p>
    <w:p>
      <w:pPr>
        <w:spacing w:after="0" w:line="2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40"/>
          </w:cols>
          <w:pgMar w:left="320" w:top="968" w:right="239" w:bottom="1440" w:gutter="0" w:footer="0" w:header="0"/>
        </w:sectPr>
      </w:pPr>
    </w:p>
    <w:p>
      <w:pPr>
        <w:spacing w:after="0" w:line="23"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7"/>
          <w:szCs w:val="17"/>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001-38434</w:t>
      </w:r>
    </w:p>
    <w:p>
      <w:pPr>
        <w:spacing w:after="0" w:line="27"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26-0138832</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 R. S. Employer Identification No.)</w:t>
      </w:r>
    </w:p>
    <w:p>
      <w:pPr>
        <w:spacing w:after="0" w:line="7" w:lineRule="exact"/>
        <w:rPr>
          <w:sz w:val="24"/>
          <w:szCs w:val="24"/>
          <w:color w:val="auto"/>
        </w:rPr>
      </w:pPr>
    </w:p>
    <w:p>
      <w:pPr>
        <w:sectPr>
          <w:pgSz w:w="11900" w:h="16838" w:orient="portrait"/>
          <w:cols w:equalWidth="0" w:num="3">
            <w:col w:w="3860" w:space="720"/>
            <w:col w:w="2200" w:space="720"/>
            <w:col w:w="3840"/>
          </w:cols>
          <w:pgMar w:left="320" w:top="968" w:right="2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b w:val="1"/>
          <w:bCs w:val="1"/>
          <w:color w:val="auto"/>
        </w:rPr>
        <w:t>incorporation)</w:t>
      </w:r>
    </w:p>
    <w:p>
      <w:pPr>
        <w:sectPr>
          <w:pgSz w:w="11900" w:h="16838" w:orient="portrait"/>
          <w:cols w:equalWidth="0" w:num="1">
            <w:col w:w="11340"/>
          </w:cols>
          <w:pgMar w:left="320" w:top="968" w:right="239" w:bottom="1440" w:gutter="0" w:footer="0" w:header="0"/>
          <w:type w:val="continuous"/>
        </w:sectPr>
      </w:pPr>
    </w:p>
    <w:p>
      <w:pPr>
        <w:spacing w:after="0" w:line="31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1800 Owens St.</w:t>
      </w:r>
    </w:p>
    <w:p>
      <w:pPr>
        <w:spacing w:after="0" w:line="27"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San Francisco, California 94158</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(415) 857-6800</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0" w:lineRule="exact"/>
        <w:rPr>
          <w:sz w:val="24"/>
          <w:szCs w:val="24"/>
          <w:color w:val="auto"/>
        </w:rPr>
      </w:pPr>
    </w:p>
    <w:p>
      <w:pPr>
        <w:spacing w:after="0" w:line="264" w:lineRule="exact"/>
        <w:rPr>
          <w:sz w:val="24"/>
          <w:szCs w:val="24"/>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30"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4"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1"/>
          <w:szCs w:val="21"/>
          <w:color w:val="auto"/>
        </w:rPr>
      </w:pPr>
    </w:p>
    <w:p>
      <w:pPr>
        <w:ind w:left="380" w:hanging="374"/>
        <w:spacing w:after="0"/>
        <w:tabs>
          <w:tab w:leader="none" w:pos="3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90805</wp:posOffset>
            </wp:positionV>
            <wp:extent cx="6258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58560" cy="8255"/>
                    </a:xfrm>
                    <a:prstGeom prst="rect">
                      <a:avLst/>
                    </a:prstGeom>
                    <a:noFill/>
                  </pic:spPr>
                </pic:pic>
              </a:graphicData>
            </a:graphic>
          </wp:anchor>
        </w:drawing>
      </w:r>
    </w:p>
    <w:p>
      <w:pPr>
        <w:spacing w:after="0" w:line="161"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80" w:type="dxa"/>
            <w:vAlign w:val="bottom"/>
          </w:tcPr>
          <w:p>
            <w:pPr>
              <w:spacing w:after="0"/>
              <w:rPr>
                <w:sz w:val="13"/>
                <w:szCs w:val="13"/>
                <w:color w:val="auto"/>
              </w:rPr>
            </w:pPr>
          </w:p>
        </w:tc>
        <w:tc>
          <w:tcPr>
            <w:tcW w:w="190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100" w:type="dxa"/>
            <w:vAlign w:val="bottom"/>
            <w:gridSpan w:val="2"/>
          </w:tcPr>
          <w:p>
            <w:pPr>
              <w:jc w:val="center"/>
              <w:ind w:left="70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20"/>
        </w:trPr>
        <w:tc>
          <w:tcPr>
            <w:tcW w:w="1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08"/>
        </w:trPr>
        <w:tc>
          <w:tcPr>
            <w:tcW w:w="426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DBX</w:t>
            </w:r>
          </w:p>
        </w:tc>
        <w:tc>
          <w:tcPr>
            <w:tcW w:w="78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199"/>
        </w:trPr>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377"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306" w:lineRule="exact"/>
        <w:rPr>
          <w:sz w:val="24"/>
          <w:szCs w:val="24"/>
          <w:color w:val="auto"/>
        </w:rPr>
      </w:pPr>
    </w:p>
    <w:p>
      <w:pPr>
        <w:ind w:right="260"/>
        <w:spacing w:after="0" w:line="26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658495</wp:posOffset>
            </wp:positionV>
            <wp:extent cx="716026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 Results of Operations and Financial Condition</w:t>
      </w:r>
    </w:p>
    <w:p>
      <w:pPr>
        <w:spacing w:after="0" w:line="24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On February 15, 2024, Dropbox, Inc. (“Dropbox” or the "Company") issued a press release and will hold a conference call announcing its financial results for the quarter and fiscal year ended December 31, 2023. A copy of the press release is attached as Exhibit 99.1 to this current report on Form 8-K and is incorporated by reference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 Regulation FD Disclosure</w:t>
      </w:r>
    </w:p>
    <w:p>
      <w:pPr>
        <w:spacing w:after="0" w:line="24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February 15, 2024, Dropbox posted supplemental investor materials on its investors.dropbox.com website. Dropbox intends to use its investors.dropbox.com website as a means of disclosing material non-public information and for complying with its disclosure obligations under Regulation FD.</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7"/>
          <w:szCs w:val="17"/>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84"/>
        </w:trPr>
        <w:tc>
          <w:tcPr>
            <w:tcW w:w="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0" w:type="dxa"/>
            <w:vAlign w:val="bottom"/>
          </w:tcPr>
          <w:p>
            <w:pPr>
              <w:spacing w:after="0"/>
              <w:rPr>
                <w:sz w:val="24"/>
                <w:szCs w:val="24"/>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79"/>
        </w:trPr>
        <w:tc>
          <w:tcPr>
            <w:tcW w:w="20" w:type="dxa"/>
            <w:vAlign w:val="bottom"/>
          </w:tcPr>
          <w:p>
            <w:pPr>
              <w:spacing w:after="0"/>
              <w:rPr>
                <w:sz w:val="15"/>
                <w:szCs w:val="15"/>
                <w:color w:val="auto"/>
              </w:rPr>
            </w:pPr>
          </w:p>
        </w:tc>
        <w:tc>
          <w:tcPr>
            <w:tcW w:w="1080" w:type="dxa"/>
            <w:vAlign w:val="bottom"/>
            <w:tcBorders>
              <w:top w:val="single" w:sz="8" w:color="auto"/>
            </w:tcBorders>
          </w:tcPr>
          <w:p>
            <w:pPr>
              <w:jc w:val="right"/>
              <w:ind w:right="292"/>
              <w:spacing w:after="0" w:line="17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60" w:type="dxa"/>
            <w:vAlign w:val="bottom"/>
            <w:tcBorders>
              <w:top w:val="single" w:sz="8" w:color="auto"/>
            </w:tcBorders>
            <w:gridSpan w:val="2"/>
          </w:tcPr>
          <w:p>
            <w:pPr>
              <w:spacing w:after="0" w:line="179" w:lineRule="exact"/>
              <w:rPr>
                <w:sz w:val="20"/>
                <w:szCs w:val="20"/>
                <w:color w:val="auto"/>
              </w:rPr>
            </w:pPr>
            <w:r>
              <w:rPr>
                <w:rFonts w:ascii="Times New Roman" w:cs="Times New Roman" w:eastAsia="Times New Roman" w:hAnsi="Times New Roman"/>
                <w:sz w:val="18"/>
                <w:szCs w:val="18"/>
                <w:color w:val="0000FF"/>
              </w:rPr>
              <w:t>Press Release entitled "Dropbox Announces Fourth Quarter and Fiscal 2023 Results" dated February 15, 2024</w:t>
            </w:r>
          </w:p>
        </w:tc>
        <w:tc>
          <w:tcPr>
            <w:tcW w:w="20" w:type="dxa"/>
            <w:vAlign w:val="bottom"/>
          </w:tcPr>
          <w:p>
            <w:pPr>
              <w:spacing w:after="0"/>
              <w:rPr>
                <w:sz w:val="15"/>
                <w:szCs w:val="15"/>
                <w:color w:val="auto"/>
              </w:rPr>
            </w:pPr>
          </w:p>
        </w:tc>
      </w:tr>
      <w:tr>
        <w:trPr>
          <w:trHeight w:val="1207"/>
        </w:trPr>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0" w:type="dxa"/>
            <w:vAlign w:val="bottom"/>
            <w:tcBorders>
              <w:top w:val="single" w:sz="8" w:color="0000FF"/>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15, 2024</w:t>
      </w:r>
    </w:p>
    <w:p>
      <w:pPr>
        <w:spacing w:after="0" w:line="34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Dropbox, Inc.</w:t>
      </w:r>
    </w:p>
    <w:p>
      <w:pPr>
        <w:spacing w:after="0" w:line="2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2185670</wp:posOffset>
            </wp:positionH>
            <wp:positionV relativeFrom="paragraph">
              <wp:posOffset>11430</wp:posOffset>
            </wp:positionV>
            <wp:extent cx="2780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80030" cy="8255"/>
                    </a:xfrm>
                    <a:prstGeom prst="rect">
                      <a:avLst/>
                    </a:prstGeom>
                    <a:noFill/>
                  </pic:spPr>
                </pic:pic>
              </a:graphicData>
            </a:graphic>
          </wp:anchor>
        </w:drawing>
      </w:r>
    </w:p>
    <w:p>
      <w:pPr>
        <w:spacing w:after="0" w:line="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Timothy J. Regan</w:t>
      </w:r>
    </w:p>
    <w:p>
      <w:pPr>
        <w:spacing w:after="0" w:line="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080"/>
          </w:cols>
          <w:pgMar w:left="320" w:top="875" w:right="499" w:bottom="1440" w:gutter="0" w:footer="0" w:header="0"/>
        </w:sectPr>
      </w:pPr>
    </w:p>
    <w:bookmarkStart w:id="3" w:name="page4"/>
    <w:bookmarkEnd w:id="3"/>
    <w:p>
      <w:pPr>
        <w:ind w:left="3640"/>
        <w:spacing w:after="0"/>
        <w:rPr>
          <w:sz w:val="20"/>
          <w:szCs w:val="20"/>
          <w:color w:val="auto"/>
        </w:rPr>
      </w:pPr>
      <w:r>
        <w:rPr>
          <w:rFonts w:ascii="Times New Roman" w:cs="Times New Roman" w:eastAsia="Times New Roman" w:hAnsi="Times New Roman"/>
          <w:sz w:val="18"/>
          <w:szCs w:val="18"/>
          <w:b w:val="1"/>
          <w:bCs w:val="1"/>
          <w:color w:val="auto"/>
        </w:rPr>
        <w:t>Dropbox Announces Fourth Quarter and Fiscal 2023 Results</w:t>
      </w:r>
    </w:p>
    <w:p>
      <w:pPr>
        <w:spacing w:after="0" w:line="246" w:lineRule="exact"/>
        <w:rPr>
          <w:sz w:val="20"/>
          <w:szCs w:val="20"/>
          <w:color w:val="auto"/>
        </w:rPr>
      </w:pPr>
    </w:p>
    <w:p>
      <w:pPr>
        <w:jc w:val="center"/>
        <w:ind w:left="360" w:right="1280"/>
        <w:spacing w:after="0" w:line="260" w:lineRule="auto"/>
        <w:rPr>
          <w:sz w:val="20"/>
          <w:szCs w:val="20"/>
          <w:color w:val="auto"/>
        </w:rPr>
      </w:pPr>
      <w:r>
        <w:rPr>
          <w:rFonts w:ascii="Times New Roman" w:cs="Times New Roman" w:eastAsia="Times New Roman" w:hAnsi="Times New Roman"/>
          <w:sz w:val="18"/>
          <w:szCs w:val="18"/>
          <w:color w:val="auto"/>
        </w:rPr>
        <w:t>Fourth Quarter Revenue of $635.0 Million, up 6.0% year-over-year; on a constant currency basis, up 6.2% year-over-year GAAP Operating Margin of 42.1% and Non-GAAP Operating Margin of 32.2% Net Cash Provided by Operating Activities of $200.3 Million and Free Cash Flow of $190.3 Million</w:t>
      </w:r>
    </w:p>
    <w:p>
      <w:pPr>
        <w:spacing w:after="0" w:line="203" w:lineRule="exact"/>
        <w:rPr>
          <w:sz w:val="20"/>
          <w:szCs w:val="20"/>
          <w:color w:val="auto"/>
        </w:rPr>
      </w:pPr>
    </w:p>
    <w:p>
      <w:pPr>
        <w:jc w:val="center"/>
        <w:ind w:left="360" w:right="1420"/>
        <w:spacing w:after="0" w:line="260" w:lineRule="auto"/>
        <w:rPr>
          <w:sz w:val="20"/>
          <w:szCs w:val="20"/>
          <w:color w:val="auto"/>
        </w:rPr>
      </w:pPr>
      <w:r>
        <w:rPr>
          <w:rFonts w:ascii="Times New Roman" w:cs="Times New Roman" w:eastAsia="Times New Roman" w:hAnsi="Times New Roman"/>
          <w:sz w:val="18"/>
          <w:szCs w:val="18"/>
          <w:color w:val="auto"/>
        </w:rPr>
        <w:t>Fiscal 2023 Revenue of $2.502 Billion, up 7.6% year-over-year; on a constant currency basis, up 9.3% year-over-year GAAP Operating Margin of 21.5% and Non-GAAP Operating Margin of 32.8% Net Cash Provided by Operating Activities of $783.7 Million and Free Cash Flow of $759.4 Million</w:t>
      </w:r>
    </w:p>
    <w:p>
      <w:pPr>
        <w:spacing w:after="0" w:line="20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SAN FRANCISCO, Calif. </w:t>
      </w:r>
      <w:r>
        <w:rPr>
          <w:rFonts w:ascii="Times New Roman" w:cs="Times New Roman" w:eastAsia="Times New Roman" w:hAnsi="Times New Roman"/>
          <w:sz w:val="18"/>
          <w:szCs w:val="18"/>
          <w:color w:val="auto"/>
        </w:rPr>
        <w:t>- February 15, 2024 - Dropbox, Inc. (NASDAQ: DBX), today announced financial results for its fourth quarter and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2023.</w:t>
      </w:r>
    </w:p>
    <w:p>
      <w:pPr>
        <w:spacing w:after="0" w:line="18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“I’m encouraged by the progress we made in 2023 despite facing headwinds in Q4,” said Dropbox Co-Founder and Chief Executive Officer Drew Houston. “We improved the overall profitability of the core business, while investing in growth initiatives with new AI-powered product experiences like Dash. Looking ahead, we’ll continue to focus on driving cash flow and improving efficiency in our core FSS business, while making strategic investments to capitalize on the new market opportunity that AI presents.”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2023 Results</w:t>
      </w:r>
    </w:p>
    <w:p>
      <w:pPr>
        <w:spacing w:after="0" w:line="246" w:lineRule="exact"/>
        <w:rPr>
          <w:sz w:val="20"/>
          <w:szCs w:val="20"/>
          <w:color w:val="auto"/>
        </w:rPr>
      </w:pPr>
    </w:p>
    <w:p>
      <w:pPr>
        <w:ind w:left="640" w:right="280" w:hanging="316"/>
        <w:spacing w:after="0" w:line="288"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$635.0 million, an increase of 6.0% from the same period last year. On a constant currency basis, year-over-year growth would have been 6.2%.</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Total revenue increased $2.0 million quarter-over-quarter.</w:t>
      </w:r>
    </w:p>
    <w:p>
      <w:pPr>
        <w:spacing w:after="0" w:line="111" w:lineRule="exact"/>
        <w:rPr>
          <w:rFonts w:ascii="Times New Roman" w:cs="Times New Roman" w:eastAsia="Times New Roman" w:hAnsi="Times New Roman"/>
          <w:sz w:val="18"/>
          <w:szCs w:val="18"/>
          <w:color w:val="auto"/>
        </w:rPr>
      </w:pPr>
    </w:p>
    <w:p>
      <w:pPr>
        <w:ind w:left="640" w:right="180" w:hanging="316"/>
        <w:spacing w:after="0" w:line="288"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ARR was $2.523 billion, a slight increase of 0.3% from the same period last year. On a constant currency basis, year-over-year growth would have been 3.8%.</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Total ARR decreased $2.2 million quarter-over-quarter.</w:t>
      </w:r>
    </w:p>
    <w:p>
      <w:pPr>
        <w:spacing w:after="0" w:line="111" w:lineRule="exact"/>
        <w:rPr>
          <w:rFonts w:ascii="Times New Roman" w:cs="Times New Roman" w:eastAsia="Times New Roman" w:hAnsi="Times New Roman"/>
          <w:sz w:val="18"/>
          <w:szCs w:val="18"/>
          <w:color w:val="auto"/>
        </w:rPr>
      </w:pPr>
    </w:p>
    <w:p>
      <w:pPr>
        <w:ind w:left="640" w:right="58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users was 18.12 million, as compared to 17.77 million for the same period last year. Average revenue per paying user was $138.83, as compared to $134.53 for the same period last year. Paying users decreased 0.05 million quarter-over-quarter.</w:t>
      </w:r>
    </w:p>
    <w:p>
      <w:pPr>
        <w:spacing w:after="0" w:line="19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80.8%, as compared to 80.7% for the same period last year. Non-GAAP gross margin was 82.3%, as compared to 82.0% for the same period last year.</w:t>
      </w:r>
    </w:p>
    <w:p>
      <w:pPr>
        <w:spacing w:after="0" w:line="190" w:lineRule="exact"/>
        <w:rPr>
          <w:rFonts w:ascii="Times New Roman" w:cs="Times New Roman" w:eastAsia="Times New Roman" w:hAnsi="Times New Roman"/>
          <w:sz w:val="18"/>
          <w:szCs w:val="18"/>
          <w:color w:val="auto"/>
        </w:rPr>
      </w:pPr>
    </w:p>
    <w:p>
      <w:pPr>
        <w:ind w:left="640" w:right="20" w:hanging="316"/>
        <w:spacing w:after="0" w:line="255" w:lineRule="auto"/>
        <w:tabs>
          <w:tab w:leader="none" w:pos="636" w:val="left"/>
        </w:tabs>
        <w:numPr>
          <w:ilvl w:val="0"/>
          <w:numId w:val="2"/>
        </w:numPr>
        <w:rPr>
          <w:rFonts w:ascii="Times New Roman" w:cs="Times New Roman" w:eastAsia="Times New Roman" w:hAnsi="Times New Roman"/>
          <w:sz w:val="14"/>
          <w:szCs w:val="14"/>
          <w:color w:val="008080"/>
        </w:rPr>
      </w:pPr>
      <w:r>
        <w:rPr>
          <w:rFonts w:ascii="Times New Roman" w:cs="Times New Roman" w:eastAsia="Times New Roman" w:hAnsi="Times New Roman"/>
          <w:sz w:val="18"/>
          <w:szCs w:val="18"/>
          <w:color w:val="auto"/>
        </w:rPr>
        <w:t>GAAP operating margin was 42.1%, as compared to (13.4%) for the same period last year. In the fourth quarter of 2023, the Company recorded a net gain on real estate assets of $158.8 million related to the partial termination of the Company's lease for its San Francisco, California corporate headquarters. In the fourth quarter of 2022, the Company recorded impairment charges related to real estate assets of $162.5 million. Non-GAAP operating margin was 32.2%, as compared to 29.9% for the same period last year.</w:t>
      </w:r>
    </w:p>
    <w:p>
      <w:pPr>
        <w:spacing w:after="0" w:line="208" w:lineRule="exact"/>
        <w:rPr>
          <w:rFonts w:ascii="Times New Roman" w:cs="Times New Roman" w:eastAsia="Times New Roman" w:hAnsi="Times New Roman"/>
          <w:sz w:val="14"/>
          <w:szCs w:val="14"/>
          <w:color w:val="008080"/>
        </w:rPr>
      </w:pPr>
    </w:p>
    <w:p>
      <w:pPr>
        <w:ind w:left="640" w:hanging="316"/>
        <w:spacing w:after="0" w:line="255"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$227.3 million, as compared to $328.3 million for the same period last year. In the fourth quarter of 2023, the Company recorded the aforementioned net gain on real estate assets. In the fourth quarter of 2022, the Company recorded a one-time income tax benefit from the release of a valuation allowance of $420.2 million, offset by the aforementioned impairment charges. Non-GAAP net income was $170.8 million, as compared to $141.2 million for the same period last year.</w:t>
      </w:r>
    </w:p>
    <w:p>
      <w:pPr>
        <w:spacing w:after="0" w:line="208" w:lineRule="exact"/>
        <w:rPr>
          <w:rFonts w:ascii="Times New Roman" w:cs="Times New Roman" w:eastAsia="Times New Roman" w:hAnsi="Times New Roman"/>
          <w:sz w:val="18"/>
          <w:szCs w:val="18"/>
          <w:color w:val="auto"/>
        </w:rPr>
      </w:pPr>
    </w:p>
    <w:p>
      <w:pPr>
        <w:ind w:left="640" w:hanging="316"/>
        <w:spacing w:after="0" w:line="255" w:lineRule="auto"/>
        <w:tabs>
          <w:tab w:leader="none" w:pos="636" w:val="left"/>
        </w:tabs>
        <w:numPr>
          <w:ilvl w:val="0"/>
          <w:numId w:val="2"/>
        </w:numPr>
        <w:rPr>
          <w:rFonts w:ascii="Times New Roman" w:cs="Times New Roman" w:eastAsia="Times New Roman" w:hAnsi="Times New Roman"/>
          <w:sz w:val="14"/>
          <w:szCs w:val="14"/>
          <w:color w:val="008080"/>
        </w:rPr>
      </w:pPr>
      <w:r>
        <w:rPr>
          <w:rFonts w:ascii="Times New Roman" w:cs="Times New Roman" w:eastAsia="Times New Roman" w:hAnsi="Times New Roman"/>
          <w:sz w:val="18"/>
          <w:szCs w:val="18"/>
          <w:color w:val="auto"/>
        </w:rPr>
        <w:t>Net cash provided by operating activities was $200.3 million, as compared to $194.6 million for the same period last year. Free cash flow was $190.3 million, as compared to $181.7 million for the same period last year. For the fourth quarter of 2023, the Company paid $28.1 million for the aforementioned partial termination of the Company's lease for its San Francisco, California corporate headquarters. For the fourth quarter of 2022, the Company paid $34.7 million related to deal consideration holdbacks pertaining to acquisitions.</w:t>
      </w:r>
    </w:p>
    <w:p>
      <w:pPr>
        <w:spacing w:after="0" w:line="208" w:lineRule="exact"/>
        <w:rPr>
          <w:rFonts w:ascii="Times New Roman" w:cs="Times New Roman" w:eastAsia="Times New Roman" w:hAnsi="Times New Roman"/>
          <w:sz w:val="14"/>
          <w:szCs w:val="14"/>
          <w:color w:val="008080"/>
        </w:rPr>
      </w:pPr>
    </w:p>
    <w:p>
      <w:pPr>
        <w:ind w:left="640" w:right="160" w:hanging="316"/>
        <w:spacing w:after="0" w:line="288" w:lineRule="auto"/>
        <w:tabs>
          <w:tab w:leader="none" w:pos="6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attributable to common stockholders was $0.66, as compared to $0.93 in the same period last year. Non-GAAP diluted net income per share attributable to common stockholders was $0.50, as compared to $0.40 in the same period last year.</w:t>
      </w:r>
      <w:r>
        <w:rPr>
          <w:rFonts w:ascii="Times New Roman" w:cs="Times New Roman" w:eastAsia="Times New Roman" w:hAnsi="Times New Roman"/>
          <w:sz w:val="22"/>
          <w:szCs w:val="22"/>
          <w:color w:val="auto"/>
          <w:vertAlign w:val="superscript"/>
        </w:rPr>
        <w:t>(3)</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ended at $1.356 billion.</w:t>
      </w:r>
    </w:p>
    <w:p>
      <w:pPr>
        <w:sectPr>
          <w:pgSz w:w="11900" w:h="16838" w:orient="portrait"/>
          <w:cols w:equalWidth="0" w:num="1">
            <w:col w:w="11220"/>
          </w:cols>
          <w:pgMar w:left="320" w:top="87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Full Year Fiscal 2023 Results</w:t>
      </w:r>
    </w:p>
    <w:p>
      <w:pPr>
        <w:spacing w:after="0" w:line="243" w:lineRule="exact"/>
        <w:rPr>
          <w:sz w:val="20"/>
          <w:szCs w:val="20"/>
          <w:color w:val="auto"/>
        </w:rPr>
      </w:pPr>
    </w:p>
    <w:p>
      <w:pPr>
        <w:ind w:left="640" w:hanging="316"/>
        <w:spacing w:after="0"/>
        <w:tabs>
          <w:tab w:leader="none" w:pos="6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was $2.502 billion, an increase of 7.6% year over year. On a constant currency basis, year-over-year growth would have been 9.3%.</w:t>
      </w:r>
      <w:r>
        <w:rPr>
          <w:rFonts w:ascii="Times New Roman" w:cs="Times New Roman" w:eastAsia="Times New Roman" w:hAnsi="Times New Roman"/>
          <w:sz w:val="21"/>
          <w:szCs w:val="21"/>
          <w:color w:val="auto"/>
          <w:vertAlign w:val="superscript"/>
        </w:rPr>
        <w:t>(1)</w:t>
      </w:r>
    </w:p>
    <w:p>
      <w:pPr>
        <w:spacing w:after="0" w:line="212"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per paying user was $139.38, as compared to $134.51 in the prior year.</w:t>
      </w:r>
    </w:p>
    <w:p>
      <w:pPr>
        <w:spacing w:after="0" w:line="2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gross margin was 80.9%, consistent with the prior year. Non-GAAP gross margin was 82.5%, as compared to 82.3% in the prior year.</w:t>
      </w:r>
    </w:p>
    <w:p>
      <w:pPr>
        <w:spacing w:after="0" w:line="244" w:lineRule="exact"/>
        <w:rPr>
          <w:rFonts w:ascii="Times New Roman" w:cs="Times New Roman" w:eastAsia="Times New Roman" w:hAnsi="Times New Roman"/>
          <w:sz w:val="18"/>
          <w:szCs w:val="18"/>
          <w:color w:val="auto"/>
        </w:rPr>
      </w:pPr>
    </w:p>
    <w:p>
      <w:pPr>
        <w:ind w:left="640" w:right="160" w:hanging="316"/>
        <w:spacing w:after="0" w:line="274" w:lineRule="auto"/>
        <w:tabs>
          <w:tab w:leader="none" w:pos="636" w:val="left"/>
        </w:tabs>
        <w:numPr>
          <w:ilvl w:val="1"/>
          <w:numId w:val="3"/>
        </w:numPr>
        <w:rPr>
          <w:rFonts w:ascii="Times New Roman" w:cs="Times New Roman" w:eastAsia="Times New Roman" w:hAnsi="Times New Roman"/>
          <w:sz w:val="14"/>
          <w:szCs w:val="14"/>
          <w:color w:val="008080"/>
        </w:rPr>
      </w:pPr>
      <w:r>
        <w:rPr>
          <w:rFonts w:ascii="Times New Roman" w:cs="Times New Roman" w:eastAsia="Times New Roman" w:hAnsi="Times New Roman"/>
          <w:sz w:val="18"/>
          <w:szCs w:val="18"/>
          <w:color w:val="auto"/>
        </w:rPr>
        <w:t>GAAP operating margin was 21.5%, as compared to 7.8% in the prior year. Non-GAAP operating margin was 32.8%, as compared to 30.9% in the prior year.</w:t>
      </w:r>
    </w:p>
    <w:p>
      <w:pPr>
        <w:spacing w:after="0" w:line="190" w:lineRule="exact"/>
        <w:rPr>
          <w:rFonts w:ascii="Times New Roman" w:cs="Times New Roman" w:eastAsia="Times New Roman" w:hAnsi="Times New Roman"/>
          <w:sz w:val="14"/>
          <w:szCs w:val="14"/>
          <w:color w:val="008080"/>
        </w:rPr>
      </w:pPr>
    </w:p>
    <w:p>
      <w:pPr>
        <w:ind w:left="640" w:right="120" w:hanging="316"/>
        <w:spacing w:after="0" w:line="274" w:lineRule="auto"/>
        <w:tabs>
          <w:tab w:leader="none" w:pos="63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was $453.6 million, as compared to $553.2 million in the prior year. Non-GAAP net income was $685.0 million, as compared to $573.9 million in the prior year.</w:t>
      </w:r>
    </w:p>
    <w:p>
      <w:pPr>
        <w:spacing w:after="0" w:line="190" w:lineRule="exact"/>
        <w:rPr>
          <w:rFonts w:ascii="Times New Roman" w:cs="Times New Roman" w:eastAsia="Times New Roman" w:hAnsi="Times New Roman"/>
          <w:sz w:val="18"/>
          <w:szCs w:val="18"/>
          <w:color w:val="auto"/>
        </w:rPr>
      </w:pPr>
    </w:p>
    <w:p>
      <w:pPr>
        <w:ind w:left="640" w:right="160" w:hanging="316"/>
        <w:spacing w:after="0" w:line="274" w:lineRule="auto"/>
        <w:tabs>
          <w:tab w:leader="none" w:pos="636" w:val="left"/>
        </w:tabs>
        <w:numPr>
          <w:ilvl w:val="1"/>
          <w:numId w:val="3"/>
        </w:numPr>
        <w:rPr>
          <w:rFonts w:ascii="Times New Roman" w:cs="Times New Roman" w:eastAsia="Times New Roman" w:hAnsi="Times New Roman"/>
          <w:sz w:val="14"/>
          <w:szCs w:val="14"/>
          <w:color w:val="008080"/>
        </w:rPr>
      </w:pPr>
      <w:r>
        <w:rPr>
          <w:rFonts w:ascii="Times New Roman" w:cs="Times New Roman" w:eastAsia="Times New Roman" w:hAnsi="Times New Roman"/>
          <w:sz w:val="18"/>
          <w:szCs w:val="18"/>
          <w:color w:val="auto"/>
        </w:rPr>
        <w:t>Net cash provided by operating activities was $783.7 million as compared to $797.3 million in the prior year. Free cash flow was $759.4 million as compared to $763.5 million in the prior year.</w:t>
      </w:r>
    </w:p>
    <w:p>
      <w:pPr>
        <w:spacing w:after="0" w:line="190" w:lineRule="exact"/>
        <w:rPr>
          <w:rFonts w:ascii="Times New Roman" w:cs="Times New Roman" w:eastAsia="Times New Roman" w:hAnsi="Times New Roman"/>
          <w:sz w:val="14"/>
          <w:szCs w:val="14"/>
          <w:color w:val="008080"/>
        </w:rPr>
      </w:pPr>
    </w:p>
    <w:p>
      <w:pPr>
        <w:ind w:left="640" w:right="140" w:hanging="316"/>
        <w:spacing w:after="0" w:line="288" w:lineRule="auto"/>
        <w:tabs>
          <w:tab w:leader="none" w:pos="63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attributable to common stockholders was $1.31, as compared to $1.52 in the prior year. Non-GAAP diluted net income per share attributable to common stockholders was $1.98, as compared to $1.58 in the prior year.</w:t>
      </w:r>
      <w:r>
        <w:rPr>
          <w:rFonts w:ascii="Times New Roman" w:cs="Times New Roman" w:eastAsia="Times New Roman" w:hAnsi="Times New Roman"/>
          <w:sz w:val="22"/>
          <w:szCs w:val="22"/>
          <w:color w:val="auto"/>
          <w:vertAlign w:val="superscript"/>
        </w:rPr>
        <w:t>(4)</w:t>
      </w:r>
    </w:p>
    <w:p>
      <w:pPr>
        <w:spacing w:after="0" w:line="343" w:lineRule="exact"/>
        <w:rPr>
          <w:rFonts w:ascii="Times New Roman" w:cs="Times New Roman" w:eastAsia="Times New Roman" w:hAnsi="Times New Roman"/>
          <w:sz w:val="18"/>
          <w:szCs w:val="18"/>
          <w:color w:val="auto"/>
        </w:rPr>
      </w:pPr>
    </w:p>
    <w:p>
      <w:pPr>
        <w:ind w:left="160" w:hanging="154"/>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constant currency revenue growth rates by applying the prior period weighted average exchange rates to current period results.</w:t>
      </w:r>
    </w:p>
    <w:p>
      <w:pPr>
        <w:spacing w:after="0" w:line="216" w:lineRule="exact"/>
        <w:rPr>
          <w:rFonts w:ascii="Times New Roman" w:cs="Times New Roman" w:eastAsia="Times New Roman" w:hAnsi="Times New Roman"/>
          <w:sz w:val="19"/>
          <w:szCs w:val="19"/>
          <w:color w:val="auto"/>
          <w:vertAlign w:val="superscript"/>
        </w:rPr>
      </w:pPr>
    </w:p>
    <w:p>
      <w:pPr>
        <w:ind w:right="120" w:firstLine="6"/>
        <w:spacing w:after="0" w:line="281" w:lineRule="auto"/>
        <w:tabs>
          <w:tab w:leader="none" w:pos="146"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spacing w:after="0" w:line="203" w:lineRule="exact"/>
        <w:rPr>
          <w:rFonts w:ascii="Times New Roman" w:cs="Times New Roman" w:eastAsia="Times New Roman" w:hAnsi="Times New Roman"/>
          <w:sz w:val="18"/>
          <w:szCs w:val="18"/>
          <w:color w:val="auto"/>
          <w:vertAlign w:val="superscript"/>
        </w:rPr>
      </w:pPr>
    </w:p>
    <w:p>
      <w:pPr>
        <w:ind w:firstLine="6"/>
        <w:spacing w:after="0" w:line="243" w:lineRule="auto"/>
        <w:tabs>
          <w:tab w:leader="none" w:pos="162"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GAAP and Non-GAAP diluted net income per share attributable to common stockholders is calculated based upon 343.9 million and 354.0 million diluted weighted-average shares of common stock for the three months ended December 31, 2023 and 2022, respectively.</w:t>
      </w:r>
    </w:p>
    <w:p>
      <w:pPr>
        <w:spacing w:after="0" w:line="214"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b w:val="1"/>
          <w:bCs w:val="1"/>
          <w:color w:val="auto"/>
          <w:vertAlign w:val="superscript"/>
        </w:rPr>
        <w:t>(</w:t>
      </w: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6"/>
          <w:szCs w:val="16"/>
          <w:color w:val="auto"/>
        </w:rPr>
        <w:t xml:space="preserve"> GAAP and Non-GAAP diluted net income per share attributable to common stockholders is calculated based upon 345.6 million and 363.3 million diluted weighted-average shares of common stock for the fiscal year ended December 31, 2023 and 2022, respectively.</w:t>
      </w:r>
    </w:p>
    <w:p>
      <w:pPr>
        <w:sectPr>
          <w:pgSz w:w="11900" w:h="16838" w:orient="portrait"/>
          <w:cols w:equalWidth="0" w:num="1">
            <w:col w:w="11200"/>
          </w:cols>
          <w:pgMar w:left="320" w:top="111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 xml:space="preserve">Dropbox will provide forward-looking guidance in connection with this quarterly earnings announcement on its conference call, webcast, and on its investor relations website at </w:t>
      </w:r>
      <w:r>
        <w:rPr>
          <w:rFonts w:ascii="Times New Roman" w:cs="Times New Roman" w:eastAsia="Times New Roman" w:hAnsi="Times New Roman"/>
          <w:sz w:val="18"/>
          <w:szCs w:val="18"/>
          <w:u w:val="single" w:color="auto"/>
          <w:color w:val="auto"/>
        </w:rPr>
        <w:t>http://investors.dropbox.com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4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Dropbox plans to host a conference call today to review its fourth quarter financial results and to discuss its financial outlook. This call is scheduled to begin at 2:00 p.m. PT / 5:00 p.m. ET and can be accessed by using the web link at http://investors.dropbox.com.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Upcoming Events</w:t>
      </w:r>
    </w:p>
    <w:p>
      <w:pPr>
        <w:spacing w:after="0" w:line="246"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 Regan, Chief Financial Officer, will be hosting meetings at the JMP Technology Conference on Monday, March 4th,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Dropbox</w:t>
      </w:r>
    </w:p>
    <w:p>
      <w:pPr>
        <w:spacing w:after="0" w:line="24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 w:cs="Times New Roman" w:eastAsia="Times New Roman" w:hAnsi="Times New Roman"/>
          <w:sz w:val="18"/>
          <w:szCs w:val="18"/>
          <w:u w:val="single" w:color="auto"/>
          <w:color w:val="auto"/>
        </w:rPr>
        <w:t>http://dropbox.com</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4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including, among other things, our expectations regarding distributed work and artificial intelligence and machine learning trends, related market opportunities and our ability to capitalize on those opportunities.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and increase our recurring revenue; (ii) our ability to attract new users or convert registered users to paying users;</w:t>
      </w:r>
    </w:p>
    <w:p>
      <w:pPr>
        <w:spacing w:after="0" w:line="6" w:lineRule="exact"/>
        <w:rPr>
          <w:sz w:val="20"/>
          <w:szCs w:val="20"/>
          <w:color w:val="auto"/>
        </w:rPr>
      </w:pPr>
    </w:p>
    <w:p>
      <w:pPr>
        <w:ind w:firstLine="6"/>
        <w:spacing w:after="0" w:line="262" w:lineRule="auto"/>
        <w:tabs>
          <w:tab w:leader="none" w:pos="30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and free cash flow; (vi) our ability to achieve or maintain profitability; (vii) our liability for any unauthorized access to our data or our users’ content, including through privacy and data security breaches;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competition in our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ability to manage our growth or plan for future growth; (xv) our various acquisitions of businesses and the potential of such acquisitions to require significant management attention, disrupt our business, or dilute stockholder value; (xvi) our ability to attract, retain, integrate, and manage key and other highly qualified personnel, including as a result of our transition to a Virtual First model with an increasingly distributed workforce and in light of the reduction of our workforce announced last year; (xvii) our capital allocation plans with respect to our stock repurchase program and other investments; and (xviii) the dual class structure of our common stock and its effect of concentrating voting control with certain stockholders who held our capital stock prior to the completion of our initial public offering. Further information on risks that could affect Dropbox’s results is included in our filings with the Securities and Exchange Commission ("SEC"), including our Form 10-Q for the quarter ended September 30, 2023. Additional information</w:t>
      </w:r>
    </w:p>
    <w:p>
      <w:pPr>
        <w:sectPr>
          <w:pgSz w:w="11900" w:h="16838" w:orient="portrait"/>
          <w:cols w:equalWidth="0" w:num="1">
            <w:col w:w="11240"/>
          </w:cols>
          <w:pgMar w:left="320" w:top="875" w:right="339" w:bottom="1440" w:gutter="0" w:footer="0" w:header="0"/>
        </w:sectPr>
      </w:pPr>
    </w:p>
    <w:bookmarkStart w:id="6" w:name="page7"/>
    <w:bookmarkEnd w:id="6"/>
    <w:p>
      <w:pPr>
        <w:spacing w:after="0" w:line="255" w:lineRule="auto"/>
        <w:rPr>
          <w:sz w:val="20"/>
          <w:szCs w:val="20"/>
          <w:color w:val="auto"/>
        </w:rPr>
      </w:pPr>
      <w:r>
        <w:rPr>
          <w:rFonts w:ascii="Times New Roman" w:cs="Times New Roman" w:eastAsia="Times New Roman" w:hAnsi="Times New Roman"/>
          <w:sz w:val="18"/>
          <w:szCs w:val="18"/>
          <w:color w:val="auto"/>
        </w:rPr>
        <w:t>will be made available in our annual report on Form 10-K for the year ended December 31, 2023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pgSz w:w="11900" w:h="16838" w:orient="portrait"/>
          <w:cols w:equalWidth="0" w:num="1">
            <w:col w:w="11200"/>
          </w:cols>
          <w:pgMar w:left="320" w:top="877" w:right="379" w:bottom="1440" w:gutter="0" w:footer="0" w:header="0"/>
        </w:sectPr>
      </w:pPr>
    </w:p>
    <w:bookmarkStart w:id="7" w:name="page8"/>
    <w:bookmarkEnd w:id="7"/>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Operations</w:t>
      </w:r>
    </w:p>
    <w:p>
      <w:pPr>
        <w:spacing w:after="0" w:line="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89"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3000" w:type="dxa"/>
            <w:vAlign w:val="bottom"/>
            <w:gridSpan w:val="4"/>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20" w:type="dxa"/>
            <w:vAlign w:val="bottom"/>
            <w:gridSpan w:val="4"/>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39"/>
        </w:trPr>
        <w:tc>
          <w:tcPr>
            <w:tcW w:w="39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9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tcPr>
          <w:p>
            <w:pPr>
              <w:ind w:left="240"/>
              <w:spacing w:after="0" w:line="225" w:lineRule="exact"/>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2"/>
                <w:szCs w:val="22"/>
                <w:color w:val="auto"/>
                <w:vertAlign w:val="superscript"/>
              </w:rPr>
              <w:t>(1)(2)</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26"/>
        </w:trPr>
        <w:tc>
          <w:tcPr>
            <w:tcW w:w="39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2"/>
                <w:szCs w:val="22"/>
                <w:color w:val="auto"/>
                <w:vertAlign w:val="superscript"/>
              </w:rPr>
              <w:t>(1)(2)</w:t>
            </w:r>
            <w:r>
              <w:rPr>
                <w:rFonts w:ascii="Times New Roman" w:cs="Times New Roman" w:eastAsia="Times New Roman" w:hAnsi="Times New Roman"/>
                <w:sz w:val="18"/>
                <w:szCs w:val="18"/>
                <w:color w:val="auto"/>
              </w:rPr>
              <w:t>:</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0" w:type="dxa"/>
            <w:vAlign w:val="bottom"/>
          </w:tcPr>
          <w:p>
            <w:pPr>
              <w:spacing w:after="0"/>
              <w:rPr>
                <w:sz w:val="1"/>
                <w:szCs w:val="1"/>
                <w:color w:val="auto"/>
              </w:rPr>
            </w:pPr>
          </w:p>
        </w:tc>
      </w:tr>
      <w:tr>
        <w:trPr>
          <w:trHeight w:val="226"/>
        </w:trPr>
        <w:tc>
          <w:tcPr>
            <w:tcW w:w="3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tcPr>
          <w:p>
            <w:pPr>
              <w:ind w:left="200"/>
              <w:spacing w:after="0" w:line="225" w:lineRule="exact"/>
              <w:rPr>
                <w:sz w:val="20"/>
                <w:szCs w:val="20"/>
                <w:color w:val="auto"/>
              </w:rPr>
            </w:pPr>
            <w:r>
              <w:rPr>
                <w:rFonts w:ascii="Times New Roman" w:cs="Times New Roman" w:eastAsia="Times New Roman" w:hAnsi="Times New Roman"/>
                <w:sz w:val="18"/>
                <w:szCs w:val="18"/>
                <w:color w:val="auto"/>
              </w:rPr>
              <w:t>Net (gain) loss on real estate assets</w:t>
            </w:r>
            <w:r>
              <w:rPr>
                <w:rFonts w:ascii="Times New Roman" w:cs="Times New Roman" w:eastAsia="Times New Roman" w:hAnsi="Times New Roman"/>
                <w:sz w:val="22"/>
                <w:szCs w:val="22"/>
                <w:color w:val="auto"/>
                <w:vertAlign w:val="superscript"/>
              </w:rPr>
              <w:t>(3)</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0" w:type="dxa"/>
            <w:vAlign w:val="bottom"/>
          </w:tcPr>
          <w:p>
            <w:pPr>
              <w:spacing w:after="0"/>
              <w:rPr>
                <w:sz w:val="1"/>
                <w:szCs w:val="1"/>
                <w:color w:val="auto"/>
              </w:rPr>
            </w:pPr>
          </w:p>
        </w:tc>
      </w:tr>
      <w:tr>
        <w:trPr>
          <w:trHeight w:val="21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(expense) from operations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(expense) before income taxes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26"/>
        </w:trPr>
        <w:tc>
          <w:tcPr>
            <w:tcW w:w="390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(Provision for) benefit from income taxes</w:t>
            </w:r>
            <w:r>
              <w:rPr>
                <w:rFonts w:ascii="Times New Roman" w:cs="Times New Roman" w:eastAsia="Times New Roman" w:hAnsi="Times New Roman"/>
                <w:sz w:val="22"/>
                <w:szCs w:val="22"/>
                <w:color w:val="auto"/>
                <w:vertAlign w:val="superscript"/>
              </w:rPr>
              <w:t>(4)</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90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ind w:right="932"/>
              <w:spacing w:after="0" w:line="19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95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140" w:type="dxa"/>
            <w:vAlign w:val="bottom"/>
            <w:tcBorders>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4"/>
          </w:cols>
          <w:pgMar w:left="326" w:top="877" w:right="359" w:bottom="1440" w:gutter="0" w:footer="0" w:header="0"/>
        </w:sectPr>
      </w:pPr>
    </w:p>
    <w:p>
      <w:pPr>
        <w:ind w:left="194" w:hanging="158"/>
        <w:spacing w:after="0" w:line="216"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ind w:left="194"/>
        <w:spacing w:after="0"/>
        <w:rPr>
          <w:sz w:val="20"/>
          <w:szCs w:val="20"/>
          <w:color w:val="auto"/>
        </w:rPr>
      </w:pPr>
      <w:r>
        <w:rPr>
          <w:rFonts w:ascii="Times New Roman" w:cs="Times New Roman" w:eastAsia="Times New Roman" w:hAnsi="Times New Roman"/>
          <w:sz w:val="18"/>
          <w:szCs w:val="18"/>
          <w:color w:val="auto"/>
        </w:rPr>
        <w:t>stockholders, basic</w:t>
      </w:r>
    </w:p>
    <w:p>
      <w:pPr>
        <w:spacing w:after="0" w:line="5" w:lineRule="exact"/>
        <w:rPr>
          <w:sz w:val="20"/>
          <w:szCs w:val="20"/>
          <w:color w:val="auto"/>
        </w:rPr>
      </w:pPr>
    </w:p>
    <w:p>
      <w:pPr>
        <w:ind w:left="194" w:hanging="158"/>
        <w:spacing w:after="0" w:line="215" w:lineRule="auto"/>
        <w:rPr>
          <w:sz w:val="20"/>
          <w:szCs w:val="20"/>
          <w:color w:val="auto"/>
        </w:rPr>
      </w:pPr>
      <w:r>
        <w:rPr>
          <w:rFonts w:ascii="Times New Roman" w:cs="Times New Roman" w:eastAsia="Times New Roman" w:hAnsi="Times New Roman"/>
          <w:sz w:val="18"/>
          <w:szCs w:val="18"/>
          <w:color w:val="auto"/>
        </w:rPr>
        <w:t>Weighted-average shares used in computing net income per share attributable to common</w:t>
      </w:r>
    </w:p>
    <w:p>
      <w:pPr>
        <w:spacing w:after="0" w:line="1" w:lineRule="exact"/>
        <w:rPr>
          <w:sz w:val="20"/>
          <w:szCs w:val="20"/>
          <w:color w:val="auto"/>
        </w:rPr>
      </w:pPr>
    </w:p>
    <w:p>
      <w:pPr>
        <w:ind w:left="194"/>
        <w:spacing w:after="0"/>
        <w:rPr>
          <w:sz w:val="20"/>
          <w:szCs w:val="20"/>
          <w:color w:val="auto"/>
        </w:rPr>
      </w:pPr>
      <w:r>
        <w:rPr>
          <w:rFonts w:ascii="Times New Roman" w:cs="Times New Roman" w:eastAsia="Times New Roman" w:hAnsi="Times New Roman"/>
          <w:sz w:val="18"/>
          <w:szCs w:val="18"/>
          <w:color w:val="auto"/>
        </w:rPr>
        <w:t>stockholders, diluted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00" w:type="dxa"/>
            <w:vAlign w:val="bottom"/>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2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24"/>
        </w:trPr>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20" w:type="dxa"/>
            <w:vAlign w:val="bottom"/>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-2480310</wp:posOffset>
            </wp:positionH>
            <wp:positionV relativeFrom="paragraph">
              <wp:posOffset>-386715</wp:posOffset>
            </wp:positionV>
            <wp:extent cx="7101205" cy="370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1205" cy="3708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-749300</wp:posOffset>
            </wp:positionV>
            <wp:extent cx="4615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15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14" w:space="520"/>
            <w:col w:w="7280"/>
          </w:cols>
          <w:pgMar w:left="326" w:top="877" w:right="359" w:bottom="1440" w:gutter="0" w:footer="0" w:header="0"/>
          <w:type w:val="continuous"/>
        </w:sectPr>
      </w:pPr>
    </w:p>
    <w:p>
      <w:pPr>
        <w:spacing w:after="0" w:line="107" w:lineRule="exact"/>
        <w:rPr>
          <w:sz w:val="20"/>
          <w:szCs w:val="20"/>
          <w:color w:val="auto"/>
        </w:rPr>
      </w:pPr>
    </w:p>
    <w:p>
      <w:pPr>
        <w:ind w:left="154" w:hanging="154"/>
        <w:spacing w:after="0"/>
        <w:tabs>
          <w:tab w:leader="none" w:pos="154"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stock-based compensation expense as follows (in millions):</w:t>
      </w:r>
    </w:p>
    <w:p>
      <w:pPr>
        <w:spacing w:after="0" w:line="77" w:lineRule="exact"/>
        <w:rPr>
          <w:sz w:val="20"/>
          <w:szCs w:val="20"/>
          <w:color w:val="auto"/>
        </w:rPr>
      </w:pPr>
    </w:p>
    <w:tbl>
      <w:tblPr>
        <w:tblLayout w:type="fixed"/>
        <w:tblInd w:w="34" w:type="dxa"/>
        <w:tblCellMar>
          <w:top w:w="0" w:type="dxa"/>
          <w:left w:w="0" w:type="dxa"/>
          <w:bottom w:w="0" w:type="dxa"/>
          <w:right w:w="0" w:type="dxa"/>
        </w:tblCellMar>
      </w:tblPr>
      <w:tr>
        <w:trPr>
          <w:trHeight w:val="207"/>
        </w:trPr>
        <w:tc>
          <w:tcPr>
            <w:tcW w:w="3720" w:type="dxa"/>
            <w:vAlign w:val="bottom"/>
          </w:tcPr>
          <w:p>
            <w:pPr>
              <w:spacing w:after="0"/>
              <w:rPr>
                <w:sz w:val="18"/>
                <w:szCs w:val="18"/>
                <w:color w:val="auto"/>
              </w:rPr>
            </w:pPr>
          </w:p>
        </w:tc>
        <w:tc>
          <w:tcPr>
            <w:tcW w:w="3100" w:type="dxa"/>
            <w:vAlign w:val="bottom"/>
            <w:gridSpan w:val="4"/>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5"/>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239"/>
        </w:trPr>
        <w:tc>
          <w:tcPr>
            <w:tcW w:w="37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6"/>
        </w:trPr>
        <w:tc>
          <w:tcPr>
            <w:tcW w:w="3720" w:type="dxa"/>
            <w:vAlign w:val="bottom"/>
          </w:tcPr>
          <w:p>
            <w:pPr>
              <w:ind w:left="22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(5)</w:t>
            </w: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2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180" w:type="dxa"/>
            <w:vAlign w:val="bottom"/>
            <w:tcBorders>
              <w:bottom w:val="single" w:sz="8" w:color="auto"/>
            </w:tcBorders>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ind w:left="154" w:hanging="154"/>
        <w:spacing w:after="0"/>
        <w:tabs>
          <w:tab w:leader="none" w:pos="154"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expenses related to our reduction in workforce such as severance, benefits and other related items during the year ended December 31, 2023.</w:t>
      </w:r>
    </w:p>
    <w:p>
      <w:pPr>
        <w:spacing w:after="0" w:line="97" w:lineRule="exact"/>
        <w:rPr>
          <w:rFonts w:ascii="Times New Roman" w:cs="Times New Roman" w:eastAsia="Times New Roman" w:hAnsi="Times New Roman"/>
          <w:sz w:val="19"/>
          <w:szCs w:val="19"/>
          <w:color w:val="auto"/>
          <w:vertAlign w:val="superscript"/>
        </w:rPr>
      </w:pPr>
    </w:p>
    <w:p>
      <w:pPr>
        <w:ind w:left="-6" w:right="220" w:firstLine="6"/>
        <w:spacing w:after="0" w:line="278" w:lineRule="auto"/>
        <w:tabs>
          <w:tab w:leader="none" w:pos="1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Includes a one-time gain of $158.8 million related to the partial termination of the Company's lease for its San Francisco, California corporate headquarters for the quarter ended and year ended December 31, 2023 and impairment charges related to real estate assets for the quarters ended and years ended December 31, 2023, and 2022.</w:t>
      </w:r>
    </w:p>
    <w:p>
      <w:pPr>
        <w:spacing w:after="0" w:line="64" w:lineRule="exact"/>
        <w:rPr>
          <w:rFonts w:ascii="Times New Roman" w:cs="Times New Roman" w:eastAsia="Times New Roman" w:hAnsi="Times New Roman"/>
          <w:sz w:val="18"/>
          <w:szCs w:val="18"/>
          <w:color w:val="auto"/>
          <w:vertAlign w:val="superscript"/>
        </w:rPr>
      </w:pPr>
    </w:p>
    <w:p>
      <w:pPr>
        <w:ind w:left="-6" w:right="520" w:firstLine="6"/>
        <w:spacing w:after="0" w:line="278" w:lineRule="auto"/>
        <w:tabs>
          <w:tab w:leader="none" w:pos="1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Results of Operations for the quarter ended and year ended December 31, 2022 include a one-time benefit from income taxes of $420.2 million due to the release of a valuation allowance on the Company's U.S. federal and certain state deferred tax assets.</w:t>
      </w:r>
    </w:p>
    <w:p>
      <w:pPr>
        <w:spacing w:after="0" w:line="51" w:lineRule="exact"/>
        <w:rPr>
          <w:rFonts w:ascii="Times New Roman" w:cs="Times New Roman" w:eastAsia="Times New Roman" w:hAnsi="Times New Roman"/>
          <w:sz w:val="18"/>
          <w:szCs w:val="18"/>
          <w:color w:val="auto"/>
          <w:vertAlign w:val="superscript"/>
        </w:rPr>
      </w:pPr>
    </w:p>
    <w:p>
      <w:pPr>
        <w:ind w:left="-6" w:right="320" w:firstLine="6"/>
        <w:spacing w:after="0" w:line="297" w:lineRule="auto"/>
        <w:tabs>
          <w:tab w:leader="none" w:pos="1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On March 15, 2023, the Company's President resigned, resulting in the reversal of $6.7 million in stock-based compensation expense. Of the total amount reversed, $4.4 million related to expense recognized prior to January 1, 2023.</w:t>
      </w:r>
    </w:p>
    <w:p>
      <w:pPr>
        <w:sectPr>
          <w:pgSz w:w="11900" w:h="16838" w:orient="portrait"/>
          <w:cols w:equalWidth="0" w:num="1">
            <w:col w:w="11214"/>
          </w:cols>
          <w:pgMar w:left="326" w:top="877" w:right="35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Balance Sheets</w:t>
      </w:r>
    </w:p>
    <w:p>
      <w:pPr>
        <w:spacing w:after="0" w:line="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400" w:type="dxa"/>
            <w:vAlign w:val="bottom"/>
            <w:tcBorders>
              <w:bottom w:val="single" w:sz="8" w:color="auto"/>
            </w:tcBorders>
          </w:tcPr>
          <w:p>
            <w:pPr>
              <w:spacing w:after="0"/>
              <w:rPr>
                <w:sz w:val="20"/>
                <w:szCs w:val="20"/>
                <w:color w:val="auto"/>
              </w:rPr>
            </w:pPr>
          </w:p>
        </w:tc>
      </w:tr>
      <w:tr>
        <w:trPr>
          <w:trHeight w:val="219"/>
        </w:trPr>
        <w:tc>
          <w:tcPr>
            <w:tcW w:w="66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66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and other receivables, net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1,489.8</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2"/>
        </w:trPr>
        <w:tc>
          <w:tcPr>
            <w:tcW w:w="668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0" w:type="dxa"/>
            <w:vAlign w:val="bottom"/>
            <w:shd w:val="clear" w:color="auto" w:fill="CCEEFF"/>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obligation</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 non-current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1,374.0</w:t>
            </w:r>
          </w:p>
        </w:tc>
      </w:tr>
      <w:tr>
        <w:trPr>
          <w:trHeight w:val="22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1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3,419.5</w:t>
            </w:r>
          </w:p>
        </w:tc>
      </w:tr>
      <w:tr>
        <w:trPr>
          <w:trHeight w:val="206"/>
        </w:trPr>
        <w:tc>
          <w:tcPr>
            <w:tcW w:w="66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Stockholders' deficit:</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6"/>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2,511.6</w:t>
            </w:r>
          </w:p>
        </w:tc>
      </w:tr>
      <w:tr>
        <w:trPr>
          <w:trHeight w:val="226"/>
        </w:trPr>
        <w:tc>
          <w:tcPr>
            <w:tcW w:w="6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(2,772.1)</w:t>
            </w:r>
          </w:p>
        </w:tc>
      </w:tr>
      <w:tr>
        <w:trPr>
          <w:trHeight w:val="226"/>
        </w:trPr>
        <w:tc>
          <w:tcPr>
            <w:tcW w:w="6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400" w:type="dxa"/>
            <w:vAlign w:val="bottom"/>
            <w:tcBorders>
              <w:bottom w:val="single" w:sz="8" w:color="auto"/>
            </w:tcBorders>
          </w:tcPr>
          <w:p>
            <w:pPr>
              <w:jc w:val="right"/>
              <w:ind w:right="12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2,983.5</w:t>
            </w: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r>
      <w:tr>
        <w:trPr>
          <w:trHeight w:val="20"/>
        </w:trPr>
        <w:tc>
          <w:tcPr>
            <w:tcW w:w="6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77"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1"/>
          <w:szCs w:val="21"/>
          <w:b w:val="1"/>
          <w:bCs w:val="1"/>
          <w:color w:val="auto"/>
        </w:rPr>
        <w:t>Dropbox,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Condensed Consolidated Statements of Cash Flows</w:t>
      </w:r>
    </w:p>
    <w:p>
      <w:pPr>
        <w:spacing w:after="0" w:line="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18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1"/>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8"/>
                <w:szCs w:val="18"/>
                <w:color w:val="auto"/>
              </w:rPr>
            </w:pPr>
          </w:p>
        </w:tc>
        <w:tc>
          <w:tcPr>
            <w:tcW w:w="186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6"/>
        </w:trPr>
        <w:tc>
          <w:tcPr>
            <w:tcW w:w="70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2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553.2</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 loss on real estate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gains on equity investments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Tenant improvement allowance reimbursement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lease termination</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w:t>
            </w: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equity investments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0"/>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0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r>
      <w:tr>
        <w:trPr>
          <w:trHeight w:val="191"/>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1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0"/>
        </w:trPr>
        <w:tc>
          <w:tcPr>
            <w:tcW w:w="7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r>
      <w:tr>
        <w:trPr>
          <w:trHeight w:val="214"/>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w:t>
            </w:r>
          </w:p>
        </w:tc>
      </w:tr>
      <w:tr>
        <w:trPr>
          <w:trHeight w:val="20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(799.2)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(1,041.8)</w:t>
            </w:r>
          </w:p>
        </w:tc>
      </w:tr>
      <w:tr>
        <w:trPr>
          <w:trHeight w:val="20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r>
      <w:tr>
        <w:trPr>
          <w:trHeight w:val="20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62"/>
        </w:trPr>
        <w:tc>
          <w:tcPr>
            <w:tcW w:w="70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r>
      <w:tr>
        <w:trPr>
          <w:trHeight w:val="21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30"/>
        </w:trPr>
        <w:tc>
          <w:tcPr>
            <w:tcW w:w="70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77" w:right="339" w:bottom="1440" w:gutter="0" w:footer="0" w:header="0"/>
        </w:sectPr>
      </w:pPr>
    </w:p>
    <w:bookmarkStart w:id="10" w:name="page11"/>
    <w:bookmarkEnd w:id="10"/>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Three Months Ended December 31, 2023</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7"/>
              </w:rPr>
              <w:t>Acquisition-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80"/>
              <w:spacing w:after="0" w:line="203" w:lineRule="exact"/>
              <w:rPr>
                <w:sz w:val="20"/>
                <w:szCs w:val="20"/>
                <w:color w:val="auto"/>
              </w:rPr>
            </w:pPr>
            <w:r>
              <w:rPr>
                <w:rFonts w:ascii="Times New Roman" w:cs="Times New Roman" w:eastAsia="Times New Roman" w:hAnsi="Times New Roman"/>
                <w:sz w:val="18"/>
                <w:szCs w:val="18"/>
                <w:b w:val="1"/>
                <w:bCs w:val="1"/>
                <w:color w:val="auto"/>
                <w:w w:val="97"/>
              </w:rPr>
              <w:t>Net (gain) loss</w:t>
            </w:r>
          </w:p>
        </w:tc>
        <w:tc>
          <w:tcPr>
            <w:tcW w:w="160" w:type="dxa"/>
            <w:vAlign w:val="bottom"/>
          </w:tcPr>
          <w:p>
            <w:pPr>
              <w:spacing w:after="0"/>
              <w:rPr>
                <w:sz w:val="17"/>
                <w:szCs w:val="17"/>
                <w:color w:val="auto"/>
              </w:rPr>
            </w:pPr>
          </w:p>
        </w:tc>
        <w:tc>
          <w:tcPr>
            <w:tcW w:w="1160" w:type="dxa"/>
            <w:vAlign w:val="bottom"/>
            <w:gridSpan w:val="2"/>
          </w:tcPr>
          <w:p>
            <w:pPr>
              <w:ind w:left="60"/>
              <w:spacing w:after="0" w:line="203" w:lineRule="exact"/>
              <w:rPr>
                <w:sz w:val="20"/>
                <w:szCs w:val="20"/>
                <w:color w:val="auto"/>
              </w:rPr>
            </w:pPr>
            <w:r>
              <w:rPr>
                <w:rFonts w:ascii="Times New Roman" w:cs="Times New Roman" w:eastAsia="Times New Roman" w:hAnsi="Times New Roman"/>
                <w:sz w:val="18"/>
                <w:szCs w:val="18"/>
                <w:b w:val="1"/>
                <w:bCs w:val="1"/>
                <w:color w:val="auto"/>
              </w:rPr>
              <w:t>Workforce</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5"/>
              </w:rPr>
              <w:t>related and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8"/>
                <w:szCs w:val="18"/>
                <w:b w:val="1"/>
                <w:bCs w:val="1"/>
                <w:color w:val="auto"/>
                <w:w w:val="98"/>
              </w:rPr>
              <w:t>on real estate</w:t>
            </w:r>
          </w:p>
        </w:tc>
        <w:tc>
          <w:tcPr>
            <w:tcW w:w="160" w:type="dxa"/>
            <w:vAlign w:val="bottom"/>
          </w:tcPr>
          <w:p>
            <w:pPr>
              <w:spacing w:after="0"/>
              <w:rPr>
                <w:sz w:val="14"/>
                <w:szCs w:val="14"/>
                <w:color w:val="auto"/>
              </w:rPr>
            </w:pPr>
          </w:p>
        </w:tc>
        <w:tc>
          <w:tcPr>
            <w:tcW w:w="1160" w:type="dxa"/>
            <w:vAlign w:val="bottom"/>
            <w:gridSpan w:val="2"/>
          </w:tcPr>
          <w:p>
            <w:pPr>
              <w:ind w:left="100"/>
              <w:spacing w:after="0" w:line="172" w:lineRule="exact"/>
              <w:rPr>
                <w:sz w:val="20"/>
                <w:szCs w:val="20"/>
                <w:color w:val="auto"/>
              </w:rPr>
            </w:pPr>
            <w:r>
              <w:rPr>
                <w:rFonts w:ascii="Times New Roman" w:cs="Times New Roman" w:eastAsia="Times New Roman" w:hAnsi="Times New Roman"/>
                <w:sz w:val="18"/>
                <w:szCs w:val="18"/>
                <w:b w:val="1"/>
                <w:bCs w:val="1"/>
                <w:color w:val="auto"/>
              </w:rPr>
              <w:t>reduction</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39"/>
        </w:trPr>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9"/>
              </w:rPr>
              <w:t>other expenses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180"/>
              <w:spacing w:after="0" w:line="239" w:lineRule="exact"/>
              <w:rPr>
                <w:sz w:val="20"/>
                <w:szCs w:val="20"/>
                <w:color w:val="auto"/>
              </w:rPr>
            </w:pPr>
            <w:r>
              <w:rPr>
                <w:rFonts w:ascii="Times New Roman" w:cs="Times New Roman" w:eastAsia="Times New Roman" w:hAnsi="Times New Roman"/>
                <w:sz w:val="18"/>
                <w:szCs w:val="18"/>
                <w:b w:val="1"/>
                <w:bCs w:val="1"/>
                <w:color w:val="auto"/>
                <w:w w:val="94"/>
              </w:rPr>
              <w:t>assets</w:t>
            </w:r>
            <w:r>
              <w:rPr>
                <w:rFonts w:ascii="Times New Roman" w:cs="Times New Roman" w:eastAsia="Times New Roman" w:hAnsi="Times New Roman"/>
                <w:sz w:val="22"/>
                <w:szCs w:val="22"/>
                <w:b w:val="1"/>
                <w:bCs w:val="1"/>
                <w:color w:val="auto"/>
                <w:w w:val="94"/>
                <w:vertAlign w:val="superscript"/>
              </w:rPr>
              <w:t>(1)</w:t>
            </w:r>
          </w:p>
        </w:tc>
        <w:tc>
          <w:tcPr>
            <w:tcW w:w="160" w:type="dxa"/>
            <w:vAlign w:val="bottom"/>
          </w:tcPr>
          <w:p>
            <w:pPr>
              <w:spacing w:after="0"/>
              <w:rPr>
                <w:sz w:val="20"/>
                <w:szCs w:val="20"/>
                <w:color w:val="auto"/>
              </w:rPr>
            </w:pPr>
          </w:p>
        </w:tc>
        <w:tc>
          <w:tcPr>
            <w:tcW w:w="1160" w:type="dxa"/>
            <w:vAlign w:val="bottom"/>
            <w:gridSpan w:val="2"/>
          </w:tcPr>
          <w:p>
            <w:pPr>
              <w:ind w:left="100"/>
              <w:spacing w:after="0" w:line="239" w:lineRule="exact"/>
              <w:rPr>
                <w:sz w:val="20"/>
                <w:szCs w:val="20"/>
                <w:color w:val="auto"/>
              </w:rPr>
            </w:pPr>
            <w:r>
              <w:rPr>
                <w:rFonts w:ascii="Times New Roman" w:cs="Times New Roman" w:eastAsia="Times New Roman" w:hAnsi="Times New Roman"/>
                <w:sz w:val="18"/>
                <w:szCs w:val="18"/>
                <w:b w:val="1"/>
                <w:bCs w:val="1"/>
                <w:color w:val="auto"/>
              </w:rPr>
              <w:t>expense</w:t>
            </w:r>
            <w:r>
              <w:rPr>
                <w:rFonts w:ascii="Times New Roman" w:cs="Times New Roman" w:eastAsia="Times New Roman" w:hAnsi="Times New Roman"/>
                <w:sz w:val="22"/>
                <w:szCs w:val="22"/>
                <w:b w:val="1"/>
                <w:bCs w:val="1"/>
                <w:color w:val="auto"/>
                <w:vertAlign w:val="superscript"/>
              </w:rPr>
              <w:t>(2)</w:t>
            </w:r>
          </w:p>
        </w:tc>
        <w:tc>
          <w:tcPr>
            <w:tcW w:w="10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26"/>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26"/>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Research and development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172"/>
        </w:trPr>
        <w:tc>
          <w:tcPr>
            <w:tcW w:w="19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w w:val="99"/>
              </w:rPr>
              <w:t>Research and development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172"/>
        </w:trPr>
        <w:tc>
          <w:tcPr>
            <w:tcW w:w="19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General and administrative</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172"/>
        </w:trPr>
        <w:tc>
          <w:tcPr>
            <w:tcW w:w="19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administrative margin</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172"/>
        </w:trPr>
        <w:tc>
          <w:tcPr>
            <w:tcW w:w="19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(gain) loss on real</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assets</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9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Net (gain) loss on real</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estate assets margin</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204.7</w:t>
            </w:r>
          </w:p>
        </w:tc>
        <w:tc>
          <w:tcPr>
            <w:tcW w:w="0" w:type="dxa"/>
            <w:vAlign w:val="bottom"/>
          </w:tcPr>
          <w:p>
            <w:pPr>
              <w:spacing w:after="0"/>
              <w:rPr>
                <w:sz w:val="1"/>
                <w:szCs w:val="1"/>
                <w:color w:val="auto"/>
              </w:rPr>
            </w:pPr>
          </w:p>
        </w:tc>
      </w:tr>
      <w:tr>
        <w:trPr>
          <w:trHeight w:val="234"/>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0.1 %</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20" w:firstLine="6"/>
        <w:spacing w:after="0" w:line="263" w:lineRule="auto"/>
        <w:tabs>
          <w:tab w:leader="none" w:pos="162"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a one-time gain of $158.8 million related to the partial termination of the Company's lease for its San Francisco, California corporate headquarters and impairment charges related to real estate assets.</w:t>
      </w:r>
    </w:p>
    <w:p>
      <w:pPr>
        <w:spacing w:after="0" w:line="184" w:lineRule="exact"/>
        <w:rPr>
          <w:rFonts w:ascii="Times New Roman" w:cs="Times New Roman" w:eastAsia="Times New Roman" w:hAnsi="Times New Roman"/>
          <w:sz w:val="20"/>
          <w:szCs w:val="20"/>
          <w:color w:val="auto"/>
          <w:vertAlign w:val="superscript"/>
        </w:rPr>
      </w:pPr>
    </w:p>
    <w:p>
      <w:pPr>
        <w:ind w:left="160" w:hanging="154"/>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expenses related to our reduction in workforce such as severance, benefits and other related items.</w:t>
      </w:r>
    </w:p>
    <w:p>
      <w:pPr>
        <w:sectPr>
          <w:pgSz w:w="11900" w:h="16838" w:orient="portrait"/>
          <w:cols w:equalWidth="0" w:num="1">
            <w:col w:w="11220"/>
          </w:cols>
          <w:pgMar w:left="320" w:top="869" w:right="359" w:bottom="1440" w:gutter="0" w:footer="0" w:header="0"/>
        </w:sectPr>
      </w:pPr>
    </w:p>
    <w:bookmarkStart w:id="11" w:name="page12"/>
    <w:bookmarkEnd w:id="11"/>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9"/>
          <w:szCs w:val="19"/>
          <w:b w:val="1"/>
          <w:bCs w:val="1"/>
          <w:color w:val="auto"/>
        </w:rPr>
        <w:t>Three Months Ended December 31, 2022</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76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Acquisition-related</w:t>
            </w:r>
          </w:p>
        </w:tc>
        <w:tc>
          <w:tcPr>
            <w:tcW w:w="11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5"/>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Net (gain) loss on</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ind w:left="100"/>
              <w:spacing w:after="0" w:line="172" w:lineRule="exact"/>
              <w:rPr>
                <w:sz w:val="20"/>
                <w:szCs w:val="20"/>
                <w:color w:val="auto"/>
              </w:rPr>
            </w:pPr>
            <w:r>
              <w:rPr>
                <w:rFonts w:ascii="Times New Roman" w:cs="Times New Roman" w:eastAsia="Times New Roman" w:hAnsi="Times New Roman"/>
                <w:sz w:val="18"/>
                <w:szCs w:val="18"/>
                <w:b w:val="1"/>
                <w:bCs w:val="1"/>
                <w:color w:val="auto"/>
              </w:rPr>
              <w:t>real estate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Non-GAAP</w:t>
            </w:r>
          </w:p>
        </w:tc>
        <w:tc>
          <w:tcPr>
            <w:tcW w:w="0" w:type="dxa"/>
            <w:vAlign w:val="bottom"/>
          </w:tcPr>
          <w:p>
            <w:pPr>
              <w:spacing w:after="0"/>
              <w:rPr>
                <w:sz w:val="1"/>
                <w:szCs w:val="1"/>
                <w:color w:val="auto"/>
              </w:rPr>
            </w:pPr>
          </w:p>
        </w:tc>
      </w:tr>
      <w:tr>
        <w:trPr>
          <w:trHeight w:val="239"/>
        </w:trPr>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7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and other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ind w:left="200"/>
              <w:spacing w:after="0" w:line="239" w:lineRule="exact"/>
              <w:rPr>
                <w:sz w:val="20"/>
                <w:szCs w:val="20"/>
                <w:color w:val="auto"/>
              </w:rPr>
            </w:pPr>
            <w:r>
              <w:rPr>
                <w:rFonts w:ascii="Times New Roman" w:cs="Times New Roman" w:eastAsia="Times New Roman" w:hAnsi="Times New Roman"/>
                <w:sz w:val="18"/>
                <w:szCs w:val="18"/>
                <w:b w:val="1"/>
                <w:bCs w:val="1"/>
                <w:color w:val="auto"/>
              </w:rPr>
              <w:t>assets</w:t>
            </w:r>
            <w:r>
              <w:rPr>
                <w:rFonts w:ascii="Times New Roman" w:cs="Times New Roman" w:eastAsia="Times New Roman" w:hAnsi="Times New Roman"/>
                <w:sz w:val="22"/>
                <w:szCs w:val="22"/>
                <w:b w:val="1"/>
                <w:bCs w:val="1"/>
                <w:color w:val="auto"/>
                <w:vertAlign w:val="superscript"/>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491.3</w:t>
            </w:r>
          </w:p>
        </w:tc>
        <w:tc>
          <w:tcPr>
            <w:tcW w:w="0" w:type="dxa"/>
            <w:vAlign w:val="bottom"/>
          </w:tcPr>
          <w:p>
            <w:pPr>
              <w:spacing w:after="0"/>
              <w:rPr>
                <w:sz w:val="1"/>
                <w:szCs w:val="1"/>
                <w:color w:val="auto"/>
              </w:rPr>
            </w:pPr>
          </w:p>
        </w:tc>
      </w:tr>
      <w:tr>
        <w:trPr>
          <w:trHeight w:val="22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172"/>
        </w:trPr>
        <w:tc>
          <w:tcPr>
            <w:tcW w:w="22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4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6"/>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72"/>
        </w:trPr>
        <w:tc>
          <w:tcPr>
            <w:tcW w:w="22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42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72"/>
        </w:trPr>
        <w:tc>
          <w:tcPr>
            <w:tcW w:w="224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(gain) loss on real estate</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(162.5)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2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Net (gain) loss on real estate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assets margin</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p>
        </w:tc>
        <w:tc>
          <w:tcPr>
            <w:tcW w:w="1240" w:type="dxa"/>
            <w:vAlign w:val="bottom"/>
            <w:gridSpan w:val="4"/>
          </w:tcPr>
          <w:p>
            <w:pPr>
              <w:jc w:val="right"/>
              <w:ind w:right="212"/>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160" w:hanging="154"/>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impairment charges related to real estate assets.</w:t>
      </w:r>
    </w:p>
    <w:p>
      <w:pPr>
        <w:sectPr>
          <w:pgSz w:w="11900" w:h="16838" w:orient="portrait"/>
          <w:cols w:equalWidth="0" w:num="1">
            <w:col w:w="11220"/>
          </w:cols>
          <w:pgMar w:left="320" w:top="869" w:right="359" w:bottom="1440" w:gutter="0" w:footer="0" w:header="0"/>
        </w:sectPr>
      </w:pPr>
    </w:p>
    <w:bookmarkStart w:id="12" w:name="page13"/>
    <w:bookmarkEnd w:id="12"/>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Twelve Months Ended December 31, 2023</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Acquisition-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5"/>
          </w:tcPr>
          <w:p>
            <w:pPr>
              <w:jc w:val="center"/>
              <w:ind w:right="152"/>
              <w:spacing w:after="0" w:line="203" w:lineRule="exact"/>
              <w:rPr>
                <w:sz w:val="20"/>
                <w:szCs w:val="20"/>
                <w:color w:val="auto"/>
              </w:rPr>
            </w:pPr>
            <w:r>
              <w:rPr>
                <w:rFonts w:ascii="Times New Roman" w:cs="Times New Roman" w:eastAsia="Times New Roman" w:hAnsi="Times New Roman"/>
                <w:sz w:val="18"/>
                <w:szCs w:val="18"/>
                <w:b w:val="1"/>
                <w:bCs w:val="1"/>
                <w:color w:val="auto"/>
                <w:w w:val="99"/>
              </w:rPr>
              <w:t>Net (gain) loss</w:t>
            </w: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Workforce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related and other</w:t>
            </w:r>
          </w:p>
        </w:tc>
        <w:tc>
          <w:tcPr>
            <w:tcW w:w="10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ind w:right="252"/>
              <w:spacing w:after="0" w:line="172" w:lineRule="exact"/>
              <w:rPr>
                <w:sz w:val="20"/>
                <w:szCs w:val="20"/>
                <w:color w:val="auto"/>
              </w:rPr>
            </w:pPr>
            <w:r>
              <w:rPr>
                <w:rFonts w:ascii="Times New Roman" w:cs="Times New Roman" w:eastAsia="Times New Roman" w:hAnsi="Times New Roman"/>
                <w:sz w:val="18"/>
                <w:szCs w:val="18"/>
                <w:b w:val="1"/>
                <w:bCs w:val="1"/>
                <w:color w:val="auto"/>
                <w:w w:val="98"/>
              </w:rPr>
              <w:t>on real estate</w:t>
            </w:r>
          </w:p>
        </w:tc>
        <w:tc>
          <w:tcPr>
            <w:tcW w:w="9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b w:val="1"/>
                <w:bCs w:val="1"/>
                <w:color w:val="auto"/>
              </w:rPr>
              <w:t>reduction</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39"/>
        </w:trPr>
        <w:tc>
          <w:tcPr>
            <w:tcW w:w="17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12"/>
              <w:spacing w:after="0" w:line="239" w:lineRule="exact"/>
              <w:rPr>
                <w:sz w:val="20"/>
                <w:szCs w:val="20"/>
                <w:color w:val="auto"/>
              </w:rPr>
            </w:pPr>
            <w:r>
              <w:rPr>
                <w:rFonts w:ascii="Times New Roman" w:cs="Times New Roman" w:eastAsia="Times New Roman" w:hAnsi="Times New Roman"/>
                <w:sz w:val="18"/>
                <w:szCs w:val="18"/>
                <w:b w:val="1"/>
                <w:bCs w:val="1"/>
                <w:color w:val="auto"/>
                <w:w w:val="91"/>
              </w:rPr>
              <w:t>assets</w:t>
            </w:r>
            <w:r>
              <w:rPr>
                <w:rFonts w:ascii="Times New Roman" w:cs="Times New Roman" w:eastAsia="Times New Roman" w:hAnsi="Times New Roman"/>
                <w:sz w:val="22"/>
                <w:szCs w:val="22"/>
                <w:b w:val="1"/>
                <w:bCs w:val="1"/>
                <w:color w:val="auto"/>
                <w:w w:val="91"/>
                <w:vertAlign w:val="superscript"/>
              </w:rPr>
              <w:t>(1)</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239" w:lineRule="exact"/>
              <w:rPr>
                <w:sz w:val="20"/>
                <w:szCs w:val="20"/>
                <w:color w:val="auto"/>
              </w:rPr>
            </w:pPr>
            <w:r>
              <w:rPr>
                <w:rFonts w:ascii="Times New Roman" w:cs="Times New Roman" w:eastAsia="Times New Roman" w:hAnsi="Times New Roman"/>
                <w:sz w:val="18"/>
                <w:szCs w:val="18"/>
                <w:b w:val="1"/>
                <w:bCs w:val="1"/>
                <w:color w:val="auto"/>
              </w:rPr>
              <w:t>expense</w:t>
            </w:r>
            <w:r>
              <w:rPr>
                <w:rFonts w:ascii="Times New Roman" w:cs="Times New Roman" w:eastAsia="Times New Roman" w:hAnsi="Times New Roman"/>
                <w:sz w:val="22"/>
                <w:szCs w:val="22"/>
                <w:b w:val="1"/>
                <w:bCs w:val="1"/>
                <w:color w:val="auto"/>
                <w:vertAlign w:val="superscript"/>
              </w:rPr>
              <w:t>(2)</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437.7</w:t>
            </w:r>
          </w:p>
        </w:tc>
        <w:tc>
          <w:tcPr>
            <w:tcW w:w="0" w:type="dxa"/>
            <w:vAlign w:val="bottom"/>
          </w:tcPr>
          <w:p>
            <w:pPr>
              <w:spacing w:after="0"/>
              <w:rPr>
                <w:sz w:val="1"/>
                <w:szCs w:val="1"/>
                <w:color w:val="auto"/>
              </w:rPr>
            </w:pPr>
          </w:p>
        </w:tc>
      </w:tr>
      <w:tr>
        <w:trPr>
          <w:trHeight w:val="22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w w:val="97"/>
              </w:rPr>
              <w:t>Cost of revenue margin</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0" w:type="dxa"/>
            <w:vAlign w:val="bottom"/>
          </w:tcPr>
          <w:p>
            <w:pPr>
              <w:spacing w:after="0"/>
              <w:rPr>
                <w:sz w:val="1"/>
                <w:szCs w:val="1"/>
                <w:color w:val="auto"/>
              </w:rPr>
            </w:pPr>
          </w:p>
        </w:tc>
      </w:tr>
      <w:tr>
        <w:trPr>
          <w:trHeight w:val="22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2,023.1</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2,063.9</w:t>
            </w:r>
          </w:p>
        </w:tc>
        <w:tc>
          <w:tcPr>
            <w:tcW w:w="0" w:type="dxa"/>
            <w:vAlign w:val="bottom"/>
          </w:tcPr>
          <w:p>
            <w:pPr>
              <w:spacing w:after="0"/>
              <w:rPr>
                <w:sz w:val="1"/>
                <w:szCs w:val="1"/>
                <w:color w:val="auto"/>
              </w:rPr>
            </w:pPr>
          </w:p>
        </w:tc>
      </w:tr>
      <w:tr>
        <w:trPr>
          <w:trHeight w:val="226"/>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Research and</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172"/>
        </w:trPr>
        <w:tc>
          <w:tcPr>
            <w:tcW w:w="17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Research and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development margin</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26"/>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415.4</w:t>
            </w:r>
          </w:p>
        </w:tc>
        <w:tc>
          <w:tcPr>
            <w:tcW w:w="0" w:type="dxa"/>
            <w:vAlign w:val="bottom"/>
          </w:tcPr>
          <w:p>
            <w:pPr>
              <w:spacing w:after="0"/>
              <w:rPr>
                <w:sz w:val="1"/>
                <w:szCs w:val="1"/>
                <w:color w:val="auto"/>
              </w:rPr>
            </w:pPr>
          </w:p>
        </w:tc>
      </w:tr>
      <w:tr>
        <w:trPr>
          <w:trHeight w:val="172"/>
        </w:trPr>
        <w:tc>
          <w:tcPr>
            <w:tcW w:w="17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Sales and marketing</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General and</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172"/>
        </w:trPr>
        <w:tc>
          <w:tcPr>
            <w:tcW w:w="17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General and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administrative margin</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3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(gain) loss on real</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estate assets</w:t>
            </w: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(155.2)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17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Net (gain) loss on real</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estate assets margin</w:t>
            </w: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72"/>
        </w:trPr>
        <w:tc>
          <w:tcPr>
            <w:tcW w:w="17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Income from</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338.0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819.9</w:t>
            </w:r>
          </w:p>
        </w:tc>
        <w:tc>
          <w:tcPr>
            <w:tcW w:w="0" w:type="dxa"/>
            <w:vAlign w:val="bottom"/>
          </w:tcPr>
          <w:p>
            <w:pPr>
              <w:spacing w:after="0"/>
              <w:rPr>
                <w:sz w:val="1"/>
                <w:szCs w:val="1"/>
                <w:color w:val="auto"/>
              </w:rPr>
            </w:pPr>
          </w:p>
        </w:tc>
      </w:tr>
      <w:tr>
        <w:trPr>
          <w:trHeight w:val="234"/>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120" w:firstLine="6"/>
        <w:spacing w:after="0" w:line="263" w:lineRule="auto"/>
        <w:tabs>
          <w:tab w:leader="none" w:pos="162"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a one-time gain of $158.8 million related to the partial termination of the Company's lease for its San Francisco, California corporate headquarters and impairment charges related to real estate assets.</w:t>
      </w:r>
    </w:p>
    <w:p>
      <w:pPr>
        <w:spacing w:after="0" w:line="184" w:lineRule="exact"/>
        <w:rPr>
          <w:rFonts w:ascii="Times New Roman" w:cs="Times New Roman" w:eastAsia="Times New Roman" w:hAnsi="Times New Roman"/>
          <w:sz w:val="20"/>
          <w:szCs w:val="20"/>
          <w:color w:val="auto"/>
          <w:vertAlign w:val="superscript"/>
        </w:rPr>
      </w:pPr>
    </w:p>
    <w:p>
      <w:pPr>
        <w:ind w:left="160" w:hanging="154"/>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expenses related to our reduction in workforce such as severance, benefits and other related items.</w:t>
      </w:r>
    </w:p>
    <w:p>
      <w:pPr>
        <w:sectPr>
          <w:pgSz w:w="11900" w:h="16838" w:orient="portrait"/>
          <w:cols w:equalWidth="0" w:num="1">
            <w:col w:w="11220"/>
          </w:cols>
          <w:pgMar w:left="320" w:top="869" w:right="359" w:bottom="1440" w:gutter="0" w:footer="0" w:header="0"/>
        </w:sectPr>
      </w:pPr>
    </w:p>
    <w:bookmarkStart w:id="13" w:name="page14"/>
    <w:bookmarkEnd w:id="13"/>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9"/>
          <w:szCs w:val="19"/>
          <w:b w:val="1"/>
          <w:bCs w:val="1"/>
          <w:color w:val="auto"/>
        </w:rPr>
        <w:t>Twelve Months Ended December 31, 2022</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to Non-GAAP results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 which may not foot due to rounding)</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Stock-based</w:t>
            </w:r>
          </w:p>
        </w:tc>
        <w:tc>
          <w:tcPr>
            <w:tcW w:w="1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Acquisition-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5"/>
          </w:tcPr>
          <w:p>
            <w:pPr>
              <w:jc w:val="center"/>
              <w:ind w:right="152"/>
              <w:spacing w:after="0" w:line="203" w:lineRule="exact"/>
              <w:rPr>
                <w:sz w:val="20"/>
                <w:szCs w:val="20"/>
                <w:color w:val="auto"/>
              </w:rPr>
            </w:pPr>
            <w:r>
              <w:rPr>
                <w:rFonts w:ascii="Times New Roman" w:cs="Times New Roman" w:eastAsia="Times New Roman" w:hAnsi="Times New Roman"/>
                <w:sz w:val="18"/>
                <w:szCs w:val="18"/>
                <w:b w:val="1"/>
                <w:bCs w:val="1"/>
                <w:color w:val="auto"/>
                <w:w w:val="97"/>
              </w:rPr>
              <w:t>Net (gain) loss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0" w:type="dxa"/>
            <w:vAlign w:val="bottom"/>
            <w:gridSpan w:val="5"/>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related and other</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right="252"/>
              <w:spacing w:after="0" w:line="172" w:lineRule="exact"/>
              <w:rPr>
                <w:sz w:val="20"/>
                <w:szCs w:val="20"/>
                <w:color w:val="auto"/>
              </w:rPr>
            </w:pPr>
            <w:r>
              <w:rPr>
                <w:rFonts w:ascii="Times New Roman" w:cs="Times New Roman" w:eastAsia="Times New Roman" w:hAnsi="Times New Roman"/>
                <w:sz w:val="18"/>
                <w:szCs w:val="18"/>
                <w:b w:val="1"/>
                <w:bCs w:val="1"/>
                <w:color w:val="auto"/>
                <w:w w:val="98"/>
              </w:rPr>
              <w:t>on real estate</w:t>
            </w:r>
          </w:p>
        </w:tc>
        <w:tc>
          <w:tcPr>
            <w:tcW w:w="10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98"/>
              </w:rPr>
              <w:t>Non-GAAP</w:t>
            </w:r>
          </w:p>
        </w:tc>
        <w:tc>
          <w:tcPr>
            <w:tcW w:w="0" w:type="dxa"/>
            <w:vAlign w:val="bottom"/>
          </w:tcPr>
          <w:p>
            <w:pPr>
              <w:spacing w:after="0"/>
              <w:rPr>
                <w:sz w:val="1"/>
                <w:szCs w:val="1"/>
                <w:color w:val="auto"/>
              </w:rPr>
            </w:pPr>
          </w:p>
        </w:tc>
      </w:tr>
      <w:tr>
        <w:trPr>
          <w:trHeight w:val="239"/>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60" w:type="dxa"/>
            <w:vAlign w:val="bottom"/>
          </w:tcPr>
          <w:p>
            <w:pPr>
              <w:spacing w:after="0"/>
              <w:rPr>
                <w:sz w:val="20"/>
                <w:szCs w:val="20"/>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assets</w:t>
            </w:r>
            <w:r>
              <w:rPr>
                <w:rFonts w:ascii="Times New Roman" w:cs="Times New Roman" w:eastAsia="Times New Roman" w:hAnsi="Times New Roman"/>
                <w:sz w:val="22"/>
                <w:szCs w:val="22"/>
                <w:b w:val="1"/>
                <w:bCs w:val="1"/>
                <w:color w:val="auto"/>
                <w:w w:val="94"/>
                <w:vertAlign w:val="superscript"/>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444.2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Cost of revenue margin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1,913.7</w:t>
            </w: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891.9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651.4</w:t>
            </w: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Research and development margin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374.7</w:t>
            </w: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and marketing margin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168.6</w:t>
            </w:r>
          </w:p>
        </w:tc>
        <w:tc>
          <w:tcPr>
            <w:tcW w:w="0" w:type="dxa"/>
            <w:vAlign w:val="bottom"/>
          </w:tcPr>
          <w:p>
            <w:pPr>
              <w:spacing w:after="0"/>
              <w:rPr>
                <w:sz w:val="1"/>
                <w:szCs w:val="1"/>
                <w:color w:val="auto"/>
              </w:rPr>
            </w:pPr>
          </w:p>
        </w:tc>
      </w:tr>
      <w:tr>
        <w:trPr>
          <w:trHeight w:val="22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General and administrative margin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13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real estate assets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8"/>
              </w:rPr>
              <w:t>(175.2)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8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i w:val="1"/>
                <w:iCs w:val="1"/>
                <w:color w:val="auto"/>
              </w:rPr>
              <w:t>Net (gain) loss on real estate assets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margin</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144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719.0</w:t>
            </w:r>
          </w:p>
        </w:tc>
        <w:tc>
          <w:tcPr>
            <w:tcW w:w="0" w:type="dxa"/>
            <w:vAlign w:val="bottom"/>
          </w:tcPr>
          <w:p>
            <w:pPr>
              <w:spacing w:after="0"/>
              <w:rPr>
                <w:sz w:val="1"/>
                <w:szCs w:val="1"/>
                <w:color w:val="auto"/>
              </w:rPr>
            </w:pPr>
          </w:p>
        </w:tc>
      </w:t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30.9 %</w:t>
            </w: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160" w:hanging="154"/>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Includes impairment charges related to real estate assets.</w:t>
      </w:r>
    </w:p>
    <w:p>
      <w:pPr>
        <w:sectPr>
          <w:pgSz w:w="11900" w:h="16838" w:orient="portrait"/>
          <w:cols w:equalWidth="0" w:num="1">
            <w:col w:w="11220"/>
          </w:cols>
          <w:pgMar w:left="320" w:top="869" w:right="359" w:bottom="1440" w:gutter="0" w:footer="0" w:header="0"/>
        </w:sectPr>
      </w:pPr>
    </w:p>
    <w:bookmarkStart w:id="14" w:name="page15"/>
    <w:bookmarkEnd w:id="14"/>
    <w:p>
      <w:pPr>
        <w:ind w:left="5060"/>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9"/>
          <w:szCs w:val="19"/>
          <w:b w:val="1"/>
          <w:bCs w:val="1"/>
          <w:color w:val="auto"/>
        </w:rPr>
        <w:t>Three and Twelve Months Ended December 31, 2023 and 2022</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GAAP net income to Non-GAAP net income and Non-GAAP diluted net income per share</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2720" w:type="dxa"/>
            <w:vAlign w:val="bottom"/>
            <w:gridSpan w:val="4"/>
          </w:tcPr>
          <w:p>
            <w:pPr>
              <w:jc w:val="right"/>
              <w:ind w:right="172"/>
              <w:spacing w:after="0" w:line="203"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4"/>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147"/>
        </w:trPr>
        <w:tc>
          <w:tcPr>
            <w:tcW w:w="4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80" w:type="dxa"/>
            <w:vAlign w:val="bottom"/>
            <w:gridSpan w:val="3"/>
            <w:vMerge w:val="restart"/>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45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gridSpan w:val="3"/>
            <w:vMerge w:val="continue"/>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5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w:t>
            </w: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and other expenses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real estate assets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(157.4)</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Workforce reduction expense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on equity investments</w:t>
            </w:r>
          </w:p>
        </w:tc>
        <w:tc>
          <w:tcPr>
            <w:tcW w:w="10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effects of non-GAAP adjustments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172"/>
        </w:trPr>
        <w:tc>
          <w:tcPr>
            <w:tcW w:w="45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Income tax benefit from the release of a valuation allowance</w:t>
            </w:r>
          </w:p>
        </w:tc>
        <w:tc>
          <w:tcPr>
            <w:tcW w:w="10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deferred tax assets</w:t>
            </w:r>
          </w:p>
        </w:tc>
        <w:tc>
          <w:tcPr>
            <w:tcW w:w="10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0" w:type="dxa"/>
            <w:vAlign w:val="bottom"/>
          </w:tcPr>
          <w:p>
            <w:pPr>
              <w:spacing w:after="0"/>
              <w:rPr>
                <w:sz w:val="1"/>
                <w:szCs w:val="1"/>
                <w:color w:val="auto"/>
              </w:rPr>
            </w:pPr>
          </w:p>
        </w:tc>
      </w:tr>
      <w:tr>
        <w:trPr>
          <w:trHeight w:val="21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diluted net income per share</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line="159" w:lineRule="exact"/>
              <w:rPr>
                <w:sz w:val="20"/>
                <w:szCs w:val="20"/>
                <w:color w:val="auto"/>
              </w:rPr>
            </w:pPr>
            <w:r>
              <w:rPr>
                <w:rFonts w:ascii="Times New Roman" w:cs="Times New Roman" w:eastAsia="Times New Roman" w:hAnsi="Times New Roman"/>
                <w:sz w:val="18"/>
                <w:szCs w:val="18"/>
                <w:color w:val="auto"/>
                <w:w w:val="99"/>
              </w:rPr>
              <w:t>Weighted-average shares used to compute Non-GAAP diluted</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5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0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Dropbox, Inc.</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Three and Twelve Months Ended December 31, 2023 and 2022</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Reconciliation of free cash flow and supplemental cash flow disclosure</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millions, except for percentages)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278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20" w:type="dxa"/>
            <w:vAlign w:val="bottom"/>
            <w:gridSpan w:val="4"/>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c>
          <w:tcPr>
            <w:tcW w:w="0" w:type="dxa"/>
            <w:vAlign w:val="bottom"/>
          </w:tcPr>
          <w:p>
            <w:pPr>
              <w:spacing w:after="0"/>
              <w:rPr>
                <w:sz w:val="1"/>
                <w:szCs w:val="1"/>
                <w:color w:val="auto"/>
              </w:rPr>
            </w:pPr>
          </w:p>
        </w:tc>
      </w:tr>
      <w:tr>
        <w:trPr>
          <w:trHeight w:val="141"/>
        </w:trPr>
        <w:tc>
          <w:tcPr>
            <w:tcW w:w="4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760" w:type="dxa"/>
            <w:vAlign w:val="bottom"/>
            <w:gridSpan w:val="3"/>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28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gridSpan w:val="3"/>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42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6"/>
        </w:trPr>
        <w:tc>
          <w:tcPr>
            <w:tcW w:w="42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200.3</w:t>
            </w:r>
          </w:p>
        </w:tc>
        <w:tc>
          <w:tcPr>
            <w:tcW w:w="80" w:type="dxa"/>
            <w:vAlign w:val="bottom"/>
          </w:tcPr>
          <w:p>
            <w:pPr>
              <w:spacing w:after="0"/>
              <w:rPr>
                <w:sz w:val="19"/>
                <w:szCs w:val="19"/>
                <w:color w:val="auto"/>
              </w:rPr>
            </w:pPr>
          </w:p>
        </w:tc>
        <w:tc>
          <w:tcPr>
            <w:tcW w:w="104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8"/>
              </w:rPr>
              <w:t>194.6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783.7</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797.3</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190.3</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8"/>
              </w:rPr>
              <w:t>181.7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763.5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Free cash flow margin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8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4280" w:type="dxa"/>
            <w:vAlign w:val="bottom"/>
          </w:tcPr>
          <w:p>
            <w:pPr>
              <w:ind w:left="220"/>
              <w:spacing w:after="0" w:line="177" w:lineRule="exact"/>
              <w:rPr>
                <w:sz w:val="20"/>
                <w:szCs w:val="20"/>
                <w:color w:val="auto"/>
              </w:rPr>
            </w:pPr>
            <w:r>
              <w:rPr>
                <w:rFonts w:ascii="Times New Roman" w:cs="Times New Roman" w:eastAsia="Times New Roman" w:hAnsi="Times New Roman"/>
                <w:sz w:val="18"/>
                <w:szCs w:val="18"/>
                <w:color w:val="auto"/>
              </w:rPr>
              <w:t>Key employee holdback payments related to</w:t>
            </w:r>
          </w:p>
        </w:tc>
        <w:tc>
          <w:tcPr>
            <w:tcW w:w="1020" w:type="dxa"/>
            <w:vAlign w:val="bottom"/>
            <w:vMerge w:val="restart"/>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5"/>
                <w:szCs w:val="15"/>
                <w:color w:val="auto"/>
              </w:rPr>
            </w:pPr>
          </w:p>
        </w:tc>
        <w:tc>
          <w:tcPr>
            <w:tcW w:w="1040" w:type="dxa"/>
            <w:vAlign w:val="bottom"/>
            <w:vMerge w:val="restart"/>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5"/>
                <w:szCs w:val="15"/>
                <w:color w:val="auto"/>
              </w:rPr>
            </w:pPr>
          </w:p>
        </w:tc>
        <w:tc>
          <w:tcPr>
            <w:tcW w:w="3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5"/>
                <w:szCs w:val="15"/>
                <w:color w:val="auto"/>
              </w:rPr>
            </w:pPr>
          </w:p>
        </w:tc>
        <w:tc>
          <w:tcPr>
            <w:tcW w:w="38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12"/>
        </w:trPr>
        <w:tc>
          <w:tcPr>
            <w:tcW w:w="428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acquisitions</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280" w:type="dxa"/>
            <w:vAlign w:val="bottom"/>
            <w:tcBorders>
              <w:bottom w:val="single" w:sz="8" w:color="CCEEFF"/>
            </w:tcBorders>
            <w:shd w:val="clear" w:color="auto" w:fill="CCEEFF"/>
          </w:tcPr>
          <w:p>
            <w:pPr>
              <w:ind w:left="220"/>
              <w:spacing w:after="0" w:line="219" w:lineRule="exact"/>
              <w:rPr>
                <w:sz w:val="20"/>
                <w:szCs w:val="20"/>
                <w:color w:val="auto"/>
              </w:rPr>
            </w:pPr>
            <w:r>
              <w:rPr>
                <w:rFonts w:ascii="Times New Roman" w:cs="Times New Roman" w:eastAsia="Times New Roman" w:hAnsi="Times New Roman"/>
                <w:sz w:val="18"/>
                <w:szCs w:val="18"/>
                <w:color w:val="auto"/>
              </w:rPr>
              <w:t>Payments related to workforce reduction</w:t>
            </w:r>
            <w:r>
              <w:rPr>
                <w:rFonts w:ascii="Times New Roman" w:cs="Times New Roman" w:eastAsia="Times New Roman" w:hAnsi="Times New Roman"/>
                <w:sz w:val="22"/>
                <w:szCs w:val="22"/>
                <w:color w:val="auto"/>
                <w:vertAlign w:val="superscript"/>
              </w:rPr>
              <w:t>(2)</w:t>
            </w:r>
          </w:p>
        </w:tc>
        <w:tc>
          <w:tcPr>
            <w:tcW w:w="102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80" w:type="dxa"/>
            <w:vAlign w:val="bottom"/>
          </w:tcPr>
          <w:p>
            <w:pPr>
              <w:ind w:left="220"/>
              <w:spacing w:after="0" w:line="199" w:lineRule="exact"/>
              <w:rPr>
                <w:sz w:val="20"/>
                <w:szCs w:val="20"/>
                <w:color w:val="auto"/>
              </w:rPr>
            </w:pPr>
            <w:r>
              <w:rPr>
                <w:rFonts w:ascii="Times New Roman" w:cs="Times New Roman" w:eastAsia="Times New Roman" w:hAnsi="Times New Roman"/>
                <w:sz w:val="18"/>
                <w:szCs w:val="18"/>
                <w:color w:val="auto"/>
              </w:rPr>
              <w:t>Cash paid for lease termination</w:t>
            </w:r>
            <w:r>
              <w:rPr>
                <w:rFonts w:ascii="Times New Roman" w:cs="Times New Roman" w:eastAsia="Times New Roman" w:hAnsi="Times New Roman"/>
                <w:sz w:val="22"/>
                <w:szCs w:val="22"/>
                <w:color w:val="auto"/>
                <w:vertAlign w:val="superscript"/>
              </w:rPr>
              <w:t>(3)</w:t>
            </w:r>
          </w:p>
        </w:tc>
        <w:tc>
          <w:tcPr>
            <w:tcW w:w="1020" w:type="dxa"/>
            <w:vAlign w:val="bottom"/>
            <w:tcBorders>
              <w:top w:val="single" w:sz="8" w:color="auto"/>
              <w:bottom w:val="single" w:sz="8" w:color="auto"/>
            </w:tcBorders>
          </w:tcPr>
          <w:p>
            <w:pPr>
              <w:jc w:val="right"/>
              <w:ind w:right="83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32"/>
              <w:spacing w:after="0" w:line="199"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132"/>
              <w:spacing w:after="0" w:line="199" w:lineRule="exact"/>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2"/>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ind w:right="112"/>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right="560" w:firstLine="6"/>
        <w:spacing w:after="0" w:line="260" w:lineRule="auto"/>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payments related to employee holdbacks pertaining to our acquisitions. The related expenses are recognized within research and development and sales and marketing expenses over the required service period during the quarters ended and years ended December 31, 2023, and 2022.</w:t>
      </w:r>
    </w:p>
    <w:p>
      <w:pPr>
        <w:spacing w:after="0" w:line="212" w:lineRule="exact"/>
        <w:rPr>
          <w:rFonts w:ascii="Times New Roman" w:cs="Times New Roman" w:eastAsia="Times New Roman" w:hAnsi="Times New Roman"/>
          <w:sz w:val="19"/>
          <w:szCs w:val="19"/>
          <w:color w:val="auto"/>
          <w:vertAlign w:val="superscript"/>
        </w:rPr>
      </w:pPr>
    </w:p>
    <w:p>
      <w:pPr>
        <w:ind w:right="260" w:firstLine="6"/>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payments made related to our reduction in workforce such as severance, benefits, and other related items during the quarter ended and year ended December 31, 2023.</w:t>
      </w:r>
    </w:p>
    <w:p>
      <w:pPr>
        <w:spacing w:after="0" w:line="200" w:lineRule="exact"/>
        <w:rPr>
          <w:rFonts w:ascii="Times New Roman" w:cs="Times New Roman" w:eastAsia="Times New Roman" w:hAnsi="Times New Roman"/>
          <w:sz w:val="19"/>
          <w:szCs w:val="19"/>
          <w:color w:val="auto"/>
          <w:vertAlign w:val="superscript"/>
        </w:rPr>
      </w:pPr>
    </w:p>
    <w:p>
      <w:pPr>
        <w:spacing w:after="0" w:line="204" w:lineRule="exact"/>
        <w:rPr>
          <w:rFonts w:ascii="Times New Roman" w:cs="Times New Roman" w:eastAsia="Times New Roman" w:hAnsi="Times New Roman"/>
          <w:sz w:val="19"/>
          <w:szCs w:val="19"/>
          <w:color w:val="auto"/>
          <w:vertAlign w:val="superscript"/>
        </w:rPr>
      </w:pPr>
    </w:p>
    <w:p>
      <w:pPr>
        <w:ind w:right="160" w:firstLine="6"/>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payment made for the partial termination of the Company's lease for its San Francisco, California corporate headquarters during the quarter ended and year ended December 31, 2023.</w:t>
      </w:r>
    </w:p>
    <w:p>
      <w:pPr>
        <w:sectPr>
          <w:pgSz w:w="11900" w:h="16838" w:orient="portrait"/>
          <w:cols w:equalWidth="0" w:num="1">
            <w:col w:w="11220"/>
          </w:cols>
          <w:pgMar w:left="320" w:top="86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46"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and non-GAAP diluted net income per share. Dropbox has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other acquisition-related expenses, which include third-party diligence costs and expenses related to key employee holdback agreements, net (gain) loss on real estate assets, expenses related to our reduction in workforce, net gains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In order to present revenue on a constant currency basis for the quarter ended December 31, 2023, Dropbox calculates constant currency revenue growth rates by applying the prior period weighted average exchange rates to current period results. Dropbox calculates constant currency Total ARR growth rates by applying the current period rate to prior period results. Dropbox presents constant currency information to provide a framework for assessing how our underlying business performed excluding the effect of foreign currency rate fluctuations.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Dropbox's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spacing w:after="0" w:line="21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spacing w:after="0" w:line="20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We believe that FCF is an indicator of our liquidity over the long term and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19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use of non-GAAP cost of revenue, gross profit, operating expenses, income from operations, net income,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expenses related to reduction in workforce and key employee holdback payments related to our various acquisitions.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sectPr>
          <w:pgSz w:w="11900" w:h="16838" w:orient="portrait"/>
          <w:cols w:equalWidth="0" w:num="1">
            <w:col w:w="11220"/>
          </w:cols>
          <w:pgMar w:left="320" w:top="87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Ishaan Gupta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ir@dropbox.com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Alissa Stewart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press@dropbox.com</w:t>
      </w:r>
    </w:p>
    <w:sectPr>
      <w:pgSz w:w="11900" w:h="16838" w:orient="portrait"/>
      <w:cols w:equalWidth="0" w:num="1">
        <w:col w:w="10139"/>
      </w:cols>
      <w:pgMar w:left="320" w:top="8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lvl>
    <w:lvl w:ilvl="1">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Roman"/>
      <w:start w:val="3"/>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2024-02-15T15:53:29Z</dcterms:created>
  <dcterms:modified xsi:type="dcterms:W3CDTF">2024-02-15T15:53:29Z</dcterms:modified>
</cp:coreProperties>
</file>