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2700020</wp:posOffset>
            </wp:positionH>
            <wp:positionV relativeFrom="paragraph">
              <wp:posOffset>115570</wp:posOffset>
            </wp:positionV>
            <wp:extent cx="1750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2700020</wp:posOffset>
            </wp:positionH>
            <wp:positionV relativeFrom="paragraph">
              <wp:posOffset>132715</wp:posOffset>
            </wp:positionV>
            <wp:extent cx="1750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27" w:lineRule="exact"/>
        <w:rPr>
          <w:sz w:val="24"/>
          <w:szCs w:val="24"/>
          <w:color w:val="auto"/>
        </w:rPr>
      </w:pPr>
    </w:p>
    <w:p>
      <w:pPr>
        <w:ind w:left="3840" w:right="2020" w:hanging="3835"/>
        <w:spacing w:after="0" w:line="279" w:lineRule="auto"/>
        <w:tabs>
          <w:tab w:leader="none" w:pos="332"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QUARTERLY REPORT PURSUANT TO SECTION 13 OR 15(d) OF THE SECURITIES EXCHANGE ACT OF 1934 </w:t>
      </w:r>
      <w:r>
        <w:rPr>
          <w:rFonts w:ascii="Times New Roman" w:cs="Times New Roman" w:eastAsia="Times New Roman" w:hAnsi="Times New Roman"/>
          <w:sz w:val="17"/>
          <w:szCs w:val="17"/>
          <w:color w:val="auto"/>
        </w:rPr>
        <w:t>For the quarterly period ended September 30, 2024</w:t>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9" w:lineRule="exact"/>
        <w:rPr>
          <w:sz w:val="24"/>
          <w:szCs w:val="24"/>
          <w:color w:val="auto"/>
        </w:rPr>
      </w:pPr>
    </w:p>
    <w:p>
      <w:pPr>
        <w:ind w:left="3720" w:right="2000" w:hanging="3715"/>
        <w:spacing w:after="0" w:line="279" w:lineRule="auto"/>
        <w:tabs>
          <w:tab w:leader="none" w:pos="327"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from________to________</w:t>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71120</wp:posOffset>
            </wp:positionV>
            <wp:extent cx="2962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117475</wp:posOffset>
            </wp:positionV>
            <wp:extent cx="2962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71" w:lineRule="exact"/>
        <w:rPr>
          <w:sz w:val="24"/>
          <w:szCs w:val="24"/>
          <w:color w:val="auto"/>
        </w:rPr>
      </w:pPr>
    </w:p>
    <w:p>
      <w:pPr>
        <w:ind w:left="2040"/>
        <w:spacing w:after="0"/>
        <w:tabs>
          <w:tab w:leader="none" w:pos="9260" w:val="left"/>
        </w:tabs>
        <w:rPr>
          <w:sz w:val="20"/>
          <w:szCs w:val="20"/>
          <w:color w:val="auto"/>
        </w:rPr>
      </w:pP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4"/>
          <w:szCs w:val="14"/>
          <w:b w:val="1"/>
          <w:bCs w:val="1"/>
          <w:color w:val="auto"/>
        </w:rPr>
        <w:t>26-0138832</w:t>
      </w:r>
    </w:p>
    <w:p>
      <w:pPr>
        <w:spacing w:after="0" w:line="35" w:lineRule="exact"/>
        <w:rPr>
          <w:sz w:val="24"/>
          <w:szCs w:val="24"/>
          <w:color w:val="auto"/>
        </w:rPr>
      </w:pPr>
    </w:p>
    <w:p>
      <w:pPr>
        <w:ind w:left="520"/>
        <w:spacing w:after="0"/>
        <w:tabs>
          <w:tab w:leader="none" w:pos="8380" w:val="left"/>
        </w:tabs>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3"/>
          <w:szCs w:val="13"/>
          <w:b w:val="1"/>
          <w:b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137160</wp:posOffset>
            </wp:positionV>
            <wp:extent cx="2962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1800 Owens Street</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San Francisco, California 94158</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(415) 930-7766</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116840</wp:posOffset>
            </wp:positionV>
            <wp:extent cx="2962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36830</wp:posOffset>
            </wp:positionV>
            <wp:extent cx="6257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7290" cy="8255"/>
                    </a:xfrm>
                    <a:prstGeom prst="rect">
                      <a:avLst/>
                    </a:prstGeom>
                    <a:noFill/>
                  </pic:spPr>
                </pic:pic>
              </a:graphicData>
            </a:graphic>
          </wp:anchor>
        </w:drawing>
      </w:r>
    </w:p>
    <w:p>
      <w:pPr>
        <w:spacing w:after="0" w:line="73"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264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080" w:type="dxa"/>
            <w:vAlign w:val="bottom"/>
            <w:gridSpan w:val="2"/>
          </w:tcPr>
          <w:p>
            <w:pPr>
              <w:jc w:val="center"/>
              <w:ind w:left="730"/>
              <w:spacing w:after="0"/>
              <w:rPr>
                <w:sz w:val="20"/>
                <w:szCs w:val="20"/>
                <w:color w:val="auto"/>
              </w:rPr>
            </w:pPr>
            <w:r>
              <w:rPr>
                <w:rFonts w:ascii="Times New Roman" w:cs="Times New Roman" w:eastAsia="Times New Roman" w:hAnsi="Times New Roman"/>
                <w:sz w:val="14"/>
                <w:szCs w:val="14"/>
                <w:b w:val="1"/>
                <w:bCs w:val="1"/>
                <w:color w:val="auto"/>
                <w:w w:val="99"/>
              </w:rPr>
              <w:t>Name of exchange on which registered</w:t>
            </w:r>
          </w:p>
        </w:tc>
      </w:tr>
      <w:tr>
        <w:trPr>
          <w:trHeight w:val="20"/>
        </w:trPr>
        <w:tc>
          <w:tcPr>
            <w:tcW w:w="1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205"/>
        </w:trPr>
        <w:tc>
          <w:tcPr>
            <w:tcW w:w="3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color w:val="auto"/>
                <w:w w:val="99"/>
              </w:rPr>
              <w:t>Class A Common Stock, par value $0.00001 per share</w:t>
            </w:r>
          </w:p>
        </w:tc>
        <w:tc>
          <w:tcPr>
            <w:tcW w:w="620" w:type="dxa"/>
            <w:vAlign w:val="bottom"/>
          </w:tcPr>
          <w:p>
            <w:pPr>
              <w:spacing w:after="0"/>
              <w:rPr>
                <w:sz w:val="17"/>
                <w:szCs w:val="17"/>
                <w:color w:val="auto"/>
              </w:rPr>
            </w:pPr>
          </w:p>
        </w:tc>
        <w:tc>
          <w:tcPr>
            <w:tcW w:w="18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DBX</w:t>
            </w:r>
          </w:p>
        </w:tc>
        <w:tc>
          <w:tcPr>
            <w:tcW w:w="80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196"/>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(Nasdaq Global Select Market)</w:t>
            </w:r>
          </w:p>
        </w:tc>
      </w:tr>
    </w:tbl>
    <w:p>
      <w:pPr>
        <w:spacing w:after="0" w:line="367" w:lineRule="exact"/>
        <w:rPr>
          <w:sz w:val="24"/>
          <w:szCs w:val="24"/>
          <w:color w:val="auto"/>
        </w:rPr>
      </w:pPr>
    </w:p>
    <w:p>
      <w:pPr>
        <w:ind w:right="220" w:firstLine="314"/>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2" w:lineRule="exact"/>
        <w:rPr>
          <w:sz w:val="24"/>
          <w:szCs w:val="24"/>
          <w:color w:val="auto"/>
        </w:rPr>
      </w:pPr>
    </w:p>
    <w:p>
      <w:pPr>
        <w:ind w:right="100" w:firstLine="314"/>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00"/>
          </w:cols>
          <w:pgMar w:left="320" w:top="969" w:right="379" w:bottom="1440" w:gutter="0" w:footer="0" w:header="0"/>
        </w:sectPr>
      </w:pPr>
    </w:p>
    <w:p>
      <w:pPr>
        <w:spacing w:after="0" w:line="189" w:lineRule="exact"/>
        <w:rPr>
          <w:sz w:val="24"/>
          <w:szCs w:val="24"/>
          <w:color w:val="auto"/>
        </w:rPr>
      </w:pPr>
    </w:p>
    <w:p>
      <w:pPr>
        <w:ind w:firstLine="314"/>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1"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153"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Smaller reporting company</w:t>
      </w:r>
    </w:p>
    <w:p>
      <w:pPr>
        <w:spacing w:after="0" w:line="158" w:lineRule="exact"/>
        <w:rPr>
          <w:sz w:val="24"/>
          <w:szCs w:val="24"/>
          <w:color w:val="auto"/>
        </w:rPr>
      </w:pPr>
    </w:p>
    <w:p>
      <w:pPr>
        <w:ind w:left="56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9" w:lineRule="exact"/>
        <w:rPr>
          <w:sz w:val="24"/>
          <w:szCs w:val="24"/>
          <w:color w:val="auto"/>
        </w:rPr>
      </w:pPr>
    </w:p>
    <w:p>
      <w:pPr>
        <w:sectPr>
          <w:pgSz w:w="11900" w:h="16838" w:orient="portrait"/>
          <w:cols w:equalWidth="0" w:num="2">
            <w:col w:w="10760" w:space="300"/>
            <w:col w:w="140"/>
          </w:cols>
          <w:pgMar w:left="320" w:top="969" w:right="379" w:bottom="1440" w:gutter="0" w:footer="0" w:header="0"/>
          <w:type w:val="continuous"/>
        </w:sectPr>
      </w:pPr>
    </w:p>
    <w:p>
      <w:pPr>
        <w:spacing w:after="0" w:line="136" w:lineRule="exact"/>
        <w:rPr>
          <w:sz w:val="24"/>
          <w:szCs w:val="24"/>
          <w:color w:val="auto"/>
        </w:rPr>
      </w:pPr>
    </w:p>
    <w:p>
      <w:pPr>
        <w:ind w:right="320"/>
        <w:spacing w:after="0" w:line="19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9" w:lineRule="exact"/>
        <w:rPr>
          <w:sz w:val="24"/>
          <w:szCs w:val="24"/>
          <w:color w:val="auto"/>
        </w:rPr>
      </w:pPr>
    </w:p>
    <w:p>
      <w:pPr>
        <w:spacing w:after="0" w:line="161" w:lineRule="exact"/>
        <w:tabs>
          <w:tab w:leader="none" w:pos="68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75" w:lineRule="exact"/>
        <w:rPr>
          <w:sz w:val="24"/>
          <w:szCs w:val="24"/>
          <w:color w:val="auto"/>
        </w:rPr>
      </w:pPr>
    </w:p>
    <w:p>
      <w:pPr>
        <w:jc w:val="both"/>
        <w:ind w:right="100"/>
        <w:spacing w:after="0" w:line="257" w:lineRule="auto"/>
        <w:rPr>
          <w:sz w:val="20"/>
          <w:szCs w:val="20"/>
          <w:color w:val="auto"/>
        </w:rPr>
      </w:pPr>
      <w:r>
        <w:rPr>
          <w:rFonts w:ascii="Times New Roman" w:cs="Times New Roman" w:eastAsia="Times New Roman" w:hAnsi="Times New Roman"/>
          <w:sz w:val="14"/>
          <w:szCs w:val="14"/>
          <w:color w:val="auto"/>
        </w:rPr>
        <w:t>As of November 4, 2024, there were 231,123,704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267,959 shares of Class A common stock subject to restricted stock awards that were granted to other Dropbox executives and vest upon the satisfaction of a service condition and as applicable, achievement of certain stock price goals), 78,606,471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824865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6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242"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99" w:lineRule="exact"/>
        <w:rPr>
          <w:sz w:val="20"/>
          <w:szCs w:val="20"/>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upgrade paying users;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users or convert registered users to paying users;</w:t>
      </w:r>
    </w:p>
    <w:p>
      <w:pPr>
        <w:spacing w:after="0" w:line="248" w:lineRule="exact"/>
        <w:rPr>
          <w:rFonts w:ascii="Times New Roman" w:cs="Times New Roman" w:eastAsia="Times New Roman" w:hAnsi="Times New Roman"/>
          <w:sz w:val="17"/>
          <w:szCs w:val="17"/>
          <w:color w:val="auto"/>
        </w:rPr>
      </w:pPr>
    </w:p>
    <w:p>
      <w:pPr>
        <w:ind w:left="720" w:right="16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prevent security breaches and our liability or other potential legal, regulatory, or reputational consequences of any unauthorized access to our data or our customer data, including the impact of the incident we experienced in April 2024;</w:t>
      </w:r>
    </w:p>
    <w:p>
      <w:pPr>
        <w:spacing w:after="0" w:line="172" w:lineRule="exact"/>
        <w:rPr>
          <w:rFonts w:ascii="Times New Roman" w:cs="Times New Roman" w:eastAsia="Times New Roman" w:hAnsi="Times New Roman"/>
          <w:sz w:val="17"/>
          <w:szCs w:val="17"/>
          <w:color w:val="auto"/>
        </w:rPr>
      </w:pPr>
    </w:p>
    <w:p>
      <w:pPr>
        <w:ind w:left="720" w:right="6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performance, including trends in revenue, costs of revenue, gross profit or gross margin, operating expenses, paying users, annual recurring revenue, average revenue per user, free cash flow, and the assumptions underlying such trends;</w:t>
      </w:r>
    </w:p>
    <w:p>
      <w:pPr>
        <w:spacing w:after="0" w:line="159"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general economic, political, and market trends and their respective impacts on our business;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successfully in competitive markets;</w:t>
      </w:r>
    </w:p>
    <w:p>
      <w:pPr>
        <w:spacing w:after="0" w:line="235" w:lineRule="exact"/>
        <w:rPr>
          <w:rFonts w:ascii="Times New Roman" w:cs="Times New Roman" w:eastAsia="Times New Roman" w:hAnsi="Times New Roman"/>
          <w:sz w:val="17"/>
          <w:szCs w:val="17"/>
          <w:color w:val="auto"/>
        </w:rPr>
      </w:pPr>
    </w:p>
    <w:p>
      <w:pPr>
        <w:ind w:left="720" w:right="140" w:hanging="323"/>
        <w:spacing w:after="0" w:line="279"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potential impacts of a more permanent global shift to remote or distributed work, on our business, the business of our customers, suppliers and partners, and the economy;</w:t>
      </w:r>
    </w:p>
    <w:p>
      <w:pPr>
        <w:spacing w:after="0" w:line="185"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our platform or for content collaboration solutions in general;</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integrate our platform with others;</w:t>
      </w:r>
    </w:p>
    <w:p>
      <w:pPr>
        <w:spacing w:after="0" w:line="235" w:lineRule="exact"/>
        <w:rPr>
          <w:rFonts w:ascii="Times New Roman" w:cs="Times New Roman" w:eastAsia="Times New Roman" w:hAnsi="Times New Roman"/>
          <w:sz w:val="17"/>
          <w:szCs w:val="17"/>
          <w:color w:val="auto"/>
        </w:rPr>
      </w:pPr>
    </w:p>
    <w:p>
      <w:pPr>
        <w:ind w:left="720" w:right="180" w:hanging="323"/>
        <w:spacing w:after="0" w:line="279"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respond to rapid technological changes, including our ability to take advantage of potential market opportunities arising from what we believe to be a more permanent shift towards remote or distributed work;</w:t>
      </w:r>
    </w:p>
    <w:p>
      <w:pPr>
        <w:spacing w:after="0" w:line="185"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or maintain profitability;</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around future growth;</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introduce new products and features;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invest in the development of new products and technologies;</w:t>
      </w:r>
    </w:p>
    <w:p>
      <w:pPr>
        <w:spacing w:after="0" w:line="248" w:lineRule="exact"/>
        <w:rPr>
          <w:rFonts w:ascii="Times New Roman" w:cs="Times New Roman" w:eastAsia="Times New Roman" w:hAnsi="Times New Roman"/>
          <w:sz w:val="17"/>
          <w:szCs w:val="17"/>
          <w:color w:val="auto"/>
        </w:rPr>
      </w:pPr>
    </w:p>
    <w:p>
      <w:pPr>
        <w:ind w:left="720" w:right="24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retain, integrate, and manage key and other highly qualified personnel, including in light of our workforce reductions and as a result of our Virtual First model with an increasingly distributed workforce;</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capital allocation plans, including expected allocations of cash and timing for our share repurchases and other investments;</w:t>
      </w:r>
    </w:p>
    <w:p>
      <w:pPr>
        <w:spacing w:after="0" w:line="248" w:lineRule="exact"/>
        <w:rPr>
          <w:rFonts w:ascii="Times New Roman" w:cs="Times New Roman" w:eastAsia="Times New Roman" w:hAnsi="Times New Roman"/>
          <w:sz w:val="17"/>
          <w:szCs w:val="17"/>
          <w:color w:val="auto"/>
        </w:rPr>
      </w:pPr>
    </w:p>
    <w:p>
      <w:pPr>
        <w:ind w:left="720" w:right="42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challenges and anticipated benefits to our business from our Virtual First work model as well as the impact to our financial results and business operations as a result of this model;</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new or modified laws, policies, taxes, and regulations on our business;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00" w:hanging="303"/>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cash and cash equivalents to meet our liquidity needs; and</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of companies and assets.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caution you that the foregoing list may not contain all of the forward-looking statements made in this Quarterly Report on Form 10-Q.</w:t>
      </w:r>
    </w:p>
    <w:p>
      <w:pPr>
        <w:spacing w:after="0" w:line="223" w:lineRule="exact"/>
        <w:rPr>
          <w:sz w:val="20"/>
          <w:szCs w:val="20"/>
          <w:color w:val="auto"/>
        </w:rPr>
      </w:pPr>
    </w:p>
    <w:p>
      <w:pPr>
        <w:ind w:right="80" w:firstLine="431"/>
        <w:spacing w:after="0" w:line="262"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time-to-time,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5" w:lineRule="exact"/>
        <w:rPr>
          <w:sz w:val="20"/>
          <w:szCs w:val="20"/>
          <w:color w:val="auto"/>
        </w:rPr>
      </w:pPr>
    </w:p>
    <w:p>
      <w:pPr>
        <w:ind w:firstLine="431"/>
        <w:spacing w:after="0" w:line="265" w:lineRule="auto"/>
        <w:rPr>
          <w:sz w:val="20"/>
          <w:szCs w:val="20"/>
          <w:color w:val="auto"/>
        </w:rPr>
      </w:pPr>
      <w:r>
        <w:rPr>
          <w:rFonts w:ascii="Times New Roman" w:cs="Times New Roman" w:eastAsia="Times New Roman" w:hAnsi="Times New Roman"/>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51" w:lineRule="exact"/>
        <w:rPr>
          <w:sz w:val="20"/>
          <w:szCs w:val="20"/>
          <w:color w:val="auto"/>
        </w:rPr>
      </w:pPr>
    </w:p>
    <w:p>
      <w:pPr>
        <w:ind w:right="100" w:firstLine="392"/>
        <w:spacing w:after="0" w:line="266" w:lineRule="auto"/>
        <w:rPr>
          <w:sz w:val="20"/>
          <w:szCs w:val="20"/>
          <w:color w:val="auto"/>
        </w:rPr>
      </w:pPr>
      <w:r>
        <w:rPr>
          <w:rFonts w:ascii="Times New Roman" w:cs="Times New Roman" w:eastAsia="Times New Roman" w:hAnsi="Times New Roman"/>
          <w:sz w:val="17"/>
          <w:szCs w:val="17"/>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spacing w:after="0" w:line="197" w:lineRule="exact"/>
        <w:rPr>
          <w:sz w:val="20"/>
          <w:szCs w:val="20"/>
          <w:color w:val="auto"/>
        </w:rPr>
      </w:pPr>
    </w:p>
    <w:p>
      <w:pPr>
        <w:ind w:left="720" w:right="28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our ability to retain and upgrade paying users, and any decline in renewals or upgrades could adversely affect our future results of operations.</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growth could be harmed if we fail to attract new users or convert registered users to paying users.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 the past and may continue to experience privacy and data security breaches or incidents.</w:t>
      </w:r>
    </w:p>
    <w:p>
      <w:pPr>
        <w:spacing w:after="0" w:line="248" w:lineRule="exact"/>
        <w:rPr>
          <w:rFonts w:ascii="Times New Roman" w:cs="Times New Roman" w:eastAsia="Times New Roman" w:hAnsi="Times New Roman"/>
          <w:sz w:val="17"/>
          <w:szCs w:val="17"/>
          <w:color w:val="auto"/>
        </w:rPr>
      </w:pPr>
    </w:p>
    <w:p>
      <w:pPr>
        <w:ind w:left="72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rate of growth has declined in past periods. If we do not successfully execute our plan for future growth, our growth rate may continue to decline in the future.</w:t>
      </w:r>
    </w:p>
    <w:p>
      <w:pPr>
        <w:spacing w:after="0" w:line="172" w:lineRule="exact"/>
        <w:rPr>
          <w:rFonts w:ascii="Times New Roman" w:cs="Times New Roman" w:eastAsia="Times New Roman" w:hAnsi="Times New Roman"/>
          <w:sz w:val="17"/>
          <w:szCs w:val="17"/>
          <w:color w:val="auto"/>
        </w:rPr>
      </w:pPr>
    </w:p>
    <w:p>
      <w:pPr>
        <w:ind w:left="720" w:right="40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significantly impacted by a change in general economic, political, and market conditions, including any resulting effect on consumer or business spending.</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competitive markets, and we must continue to compete effectively.</w:t>
      </w:r>
    </w:p>
    <w:p>
      <w:pPr>
        <w:spacing w:after="0" w:line="248" w:lineRule="exact"/>
        <w:rPr>
          <w:rFonts w:ascii="Times New Roman" w:cs="Times New Roman" w:eastAsia="Times New Roman" w:hAnsi="Times New Roman"/>
          <w:sz w:val="17"/>
          <w:szCs w:val="17"/>
          <w:color w:val="auto"/>
        </w:rPr>
      </w:pPr>
    </w:p>
    <w:p>
      <w:pPr>
        <w:ind w:left="720" w:right="60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respond to rapid technological changes, extend our platform, or develop new features or products may harm our ability to compete effectively, which would adversely affect our business.</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upon the interoperability of our platform across devices, operating systems, and third-party applications that we do not control.</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could be harmed by any significant disruption of service on our platform or loss of content.</w:t>
      </w:r>
    </w:p>
    <w:p>
      <w:pPr>
        <w:spacing w:after="0" w:line="248" w:lineRule="exact"/>
        <w:rPr>
          <w:rFonts w:ascii="Times New Roman" w:cs="Times New Roman" w:eastAsia="Times New Roman" w:hAnsi="Times New Roman"/>
          <w:sz w:val="17"/>
          <w:szCs w:val="17"/>
          <w:color w:val="auto"/>
        </w:rPr>
      </w:pPr>
    </w:p>
    <w:p>
      <w:pPr>
        <w:ind w:left="720" w:right="20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generate revenue from sales of subscriptions to our platform, and declines in demand for our platform, or for content collaboration solutions in general, could negatively impact our business.</w:t>
      </w:r>
    </w:p>
    <w:p>
      <w:pPr>
        <w:spacing w:after="0" w:line="172" w:lineRule="exact"/>
        <w:rPr>
          <w:rFonts w:ascii="Times New Roman" w:cs="Times New Roman" w:eastAsia="Times New Roman" w:hAnsi="Times New Roman"/>
          <w:sz w:val="17"/>
          <w:szCs w:val="17"/>
          <w:color w:val="auto"/>
        </w:rPr>
      </w:pPr>
    </w:p>
    <w:p>
      <w:pPr>
        <w:ind w:left="720" w:right="16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our key personnel and other highly qualified personnel, and if we fail to attract, integrate, and retain our personnel, and maintain our unique corporate culture, our business could be harmed.</w:t>
      </w:r>
    </w:p>
    <w:p>
      <w:pPr>
        <w:spacing w:after="0" w:line="172" w:lineRule="exact"/>
        <w:rPr>
          <w:rFonts w:ascii="Times New Roman" w:cs="Times New Roman" w:eastAsia="Times New Roman" w:hAnsi="Times New Roman"/>
          <w:sz w:val="17"/>
          <w:szCs w:val="17"/>
          <w:color w:val="auto"/>
        </w:rPr>
      </w:pPr>
    </w:p>
    <w:p>
      <w:pPr>
        <w:ind w:left="720" w:right="48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history of operating with a Virtual First workforce and the long-term impact on our financial results and business operations remains uncertain.</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lack of a significant outbound sales force may limit the potential growth of our business.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growth rate has declined in recent periods and may continue to slow in the future.</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history of net losses, we may increase expenses in the future, and we may not be able to achieve or maintain profitability.</w:t>
      </w:r>
    </w:p>
    <w:p>
      <w:pPr>
        <w:spacing w:after="0" w:line="248" w:lineRule="exact"/>
        <w:rPr>
          <w:rFonts w:ascii="Times New Roman" w:cs="Times New Roman" w:eastAsia="Times New Roman" w:hAnsi="Times New Roman"/>
          <w:sz w:val="17"/>
          <w:szCs w:val="17"/>
          <w:color w:val="auto"/>
        </w:rPr>
      </w:pPr>
    </w:p>
    <w:p>
      <w:pPr>
        <w:ind w:left="720" w:right="10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our 2026 Notes and 2028 Notes (as defined below) may require a significant amount of cash, and we may not have sufficient cash flow or the ability to raise the funds necessary to satisfy our obligations under the 2026 Notes or 2028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9"/>
        </w:trPr>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60" w:type="dxa"/>
            <w:vAlign w:val="bottom"/>
            <w:gridSpan w:val="12"/>
          </w:tcPr>
          <w:p>
            <w:pPr>
              <w:jc w:val="center"/>
              <w:ind w:right="3160"/>
              <w:spacing w:after="0"/>
              <w:rPr>
                <w:sz w:val="20"/>
                <w:szCs w:val="20"/>
                <w:color w:val="auto"/>
              </w:rPr>
            </w:pPr>
            <w:r>
              <w:rPr>
                <w:rFonts w:ascii="Times New Roman" w:cs="Times New Roman" w:eastAsia="Times New Roman" w:hAnsi="Times New Roman"/>
                <w:sz w:val="16"/>
                <w:szCs w:val="16"/>
                <w:color w:val="0000FF"/>
                <w:w w:val="95"/>
              </w:rPr>
              <w:t>PART I. FINANCIAL INFORMATION</w:t>
            </w:r>
          </w:p>
        </w:tc>
        <w:tc>
          <w:tcPr>
            <w:tcW w:w="8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Financial Statements (Unaudited)</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September 30, 2024 and December 31, 2023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 for the Three and Nine Months Ended September 30, 2024 and 2023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83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w w:val="97"/>
              </w:rPr>
              <w:t>Condensed Consolidated Statements of Comprehensive Income for the Three and Nine Months Ended September 30, 2024 and 2023</w:t>
            </w:r>
          </w:p>
        </w:tc>
        <w:tc>
          <w:tcPr>
            <w:tcW w:w="84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r>
      <w:tr>
        <w:trPr>
          <w:trHeight w:val="189"/>
        </w:trPr>
        <w:tc>
          <w:tcPr>
            <w:tcW w:w="840" w:type="dxa"/>
            <w:vAlign w:val="bottom"/>
          </w:tcPr>
          <w:p>
            <w:pPr>
              <w:spacing w:after="0"/>
              <w:rPr>
                <w:sz w:val="16"/>
                <w:szCs w:val="16"/>
                <w:color w:val="auto"/>
              </w:rPr>
            </w:pP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Stockholders' Deficit for the Three and Nine Months Ended September 30, 2024 and 2023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9</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Nine Months Ended September 30, 2024 and 2023</w:t>
            </w:r>
          </w:p>
        </w:tc>
        <w:tc>
          <w:tcPr>
            <w:tcW w:w="1020" w:type="dxa"/>
            <w:vAlign w:val="bottom"/>
            <w:gridSpan w:val="2"/>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10</w:t>
            </w:r>
          </w:p>
        </w:tc>
      </w:tr>
      <w:tr>
        <w:trPr>
          <w:trHeight w:val="189"/>
        </w:trPr>
        <w:tc>
          <w:tcPr>
            <w:tcW w:w="840" w:type="dxa"/>
            <w:vAlign w:val="bottom"/>
          </w:tcPr>
          <w:p>
            <w:pPr>
              <w:spacing w:after="0"/>
              <w:rPr>
                <w:sz w:val="16"/>
                <w:szCs w:val="16"/>
                <w:color w:val="auto"/>
              </w:rPr>
            </w:pPr>
          </w:p>
        </w:tc>
        <w:tc>
          <w:tcPr>
            <w:tcW w:w="34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7"/>
              </w:rPr>
              <w:t>Notes to Condensed Consolidated Financial Statements</w:t>
            </w:r>
          </w:p>
        </w:tc>
        <w:tc>
          <w:tcPr>
            <w:tcW w:w="3420" w:type="dxa"/>
            <w:vAlign w:val="bottom"/>
            <w:tcBorders>
              <w:top w:val="single" w:sz="8" w:color="0000FF"/>
            </w:tcBorders>
            <w:gridSpan w:val="9"/>
          </w:tcPr>
          <w:p>
            <w:pPr>
              <w:spacing w:after="0"/>
              <w:rPr>
                <w:sz w:val="16"/>
                <w:szCs w:val="16"/>
                <w:color w:val="auto"/>
              </w:rPr>
            </w:pPr>
          </w:p>
        </w:tc>
        <w:tc>
          <w:tcPr>
            <w:tcW w:w="2280" w:type="dxa"/>
            <w:vAlign w:val="bottom"/>
            <w:gridSpan w:val="4"/>
          </w:tcPr>
          <w:p>
            <w:pPr>
              <w:spacing w:after="0"/>
              <w:rPr>
                <w:sz w:val="16"/>
                <w:szCs w:val="16"/>
                <w:color w:val="auto"/>
              </w:rPr>
            </w:pPr>
          </w:p>
        </w:tc>
        <w:tc>
          <w:tcPr>
            <w:tcW w:w="1100" w:type="dxa"/>
            <w:vAlign w:val="bottom"/>
            <w:gridSpan w:val="2"/>
          </w:tcPr>
          <w:p>
            <w:pPr>
              <w:spacing w:after="0"/>
              <w:rPr>
                <w:sz w:val="16"/>
                <w:szCs w:val="16"/>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11</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1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56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7"/>
              </w:rPr>
              <w:t>Management's Discussion and Analysis of Financial Condition and Results of Operations</w:t>
            </w:r>
          </w:p>
        </w:tc>
        <w:tc>
          <w:tcPr>
            <w:tcW w:w="3560" w:type="dxa"/>
            <w:vAlign w:val="bottom"/>
            <w:gridSpan w:val="8"/>
          </w:tcPr>
          <w:p>
            <w:pPr>
              <w:spacing w:after="0"/>
              <w:rPr>
                <w:sz w:val="16"/>
                <w:szCs w:val="16"/>
                <w:color w:val="auto"/>
              </w:rPr>
            </w:pPr>
          </w:p>
        </w:tc>
        <w:tc>
          <w:tcPr>
            <w:tcW w:w="110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39</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38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7"/>
              </w:rPr>
              <w:t>Quantitative and Qualitative Disclosures About Market Risk</w:t>
            </w:r>
          </w:p>
        </w:tc>
        <w:tc>
          <w:tcPr>
            <w:tcW w:w="5380" w:type="dxa"/>
            <w:vAlign w:val="bottom"/>
            <w:gridSpan w:val="9"/>
          </w:tcPr>
          <w:p>
            <w:pPr>
              <w:spacing w:after="0"/>
              <w:rPr>
                <w:sz w:val="16"/>
                <w:szCs w:val="16"/>
                <w:color w:val="auto"/>
              </w:rPr>
            </w:pPr>
          </w:p>
        </w:tc>
        <w:tc>
          <w:tcPr>
            <w:tcW w:w="110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58</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59</w:t>
            </w:r>
          </w:p>
        </w:tc>
      </w:tr>
      <w:tr>
        <w:trPr>
          <w:trHeight w:val="437"/>
        </w:trPr>
        <w:tc>
          <w:tcPr>
            <w:tcW w:w="8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4"/>
              </w:rPr>
              <w:t>PART II. OTHER INFORMATION</w:t>
            </w:r>
          </w:p>
        </w:tc>
        <w:tc>
          <w:tcPr>
            <w:tcW w:w="328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60</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11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8020" w:type="dxa"/>
            <w:vAlign w:val="bottom"/>
            <w:gridSpan w:val="15"/>
          </w:tcPr>
          <w:p>
            <w:pPr>
              <w:spacing w:after="0"/>
              <w:rPr>
                <w:sz w:val="16"/>
                <w:szCs w:val="16"/>
                <w:color w:val="auto"/>
              </w:rPr>
            </w:pPr>
          </w:p>
        </w:tc>
        <w:tc>
          <w:tcPr>
            <w:tcW w:w="1100" w:type="dxa"/>
            <w:vAlign w:val="bottom"/>
            <w:gridSpan w:val="2"/>
          </w:tcPr>
          <w:p>
            <w:pPr>
              <w:spacing w:after="0"/>
              <w:rPr>
                <w:sz w:val="16"/>
                <w:szCs w:val="16"/>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61</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5400" w:type="dxa"/>
            <w:vAlign w:val="bottom"/>
            <w:gridSpan w:val="10"/>
          </w:tcPr>
          <w:p>
            <w:pPr>
              <w:spacing w:after="0" w:line="20" w:lineRule="exact"/>
              <w:rPr>
                <w:sz w:val="1"/>
                <w:szCs w:val="1"/>
                <w:color w:val="auto"/>
              </w:rPr>
            </w:pPr>
          </w:p>
        </w:tc>
        <w:tc>
          <w:tcPr>
            <w:tcW w:w="11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92</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37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5400" w:type="dxa"/>
            <w:vAlign w:val="bottom"/>
            <w:gridSpan w:val="10"/>
          </w:tcPr>
          <w:p>
            <w:pPr>
              <w:spacing w:after="0"/>
              <w:rPr>
                <w:sz w:val="16"/>
                <w:szCs w:val="16"/>
                <w:color w:val="auto"/>
              </w:rPr>
            </w:pPr>
          </w:p>
        </w:tc>
        <w:tc>
          <w:tcPr>
            <w:tcW w:w="1100" w:type="dxa"/>
            <w:vAlign w:val="bottom"/>
            <w:gridSpan w:val="2"/>
          </w:tcPr>
          <w:p>
            <w:pPr>
              <w:spacing w:after="0"/>
              <w:rPr>
                <w:sz w:val="16"/>
                <w:szCs w:val="16"/>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92</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11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Exhibits</w:t>
            </w:r>
          </w:p>
        </w:tc>
        <w:tc>
          <w:tcPr>
            <w:tcW w:w="8040" w:type="dxa"/>
            <w:vAlign w:val="bottom"/>
            <w:gridSpan w:val="16"/>
          </w:tcPr>
          <w:p>
            <w:pPr>
              <w:spacing w:after="0"/>
              <w:rPr>
                <w:sz w:val="16"/>
                <w:szCs w:val="16"/>
                <w:color w:val="auto"/>
              </w:rPr>
            </w:pPr>
          </w:p>
        </w:tc>
        <w:tc>
          <w:tcPr>
            <w:tcW w:w="1100" w:type="dxa"/>
            <w:vAlign w:val="bottom"/>
            <w:gridSpan w:val="2"/>
          </w:tcPr>
          <w:p>
            <w:pPr>
              <w:spacing w:after="0"/>
              <w:rPr>
                <w:sz w:val="16"/>
                <w:szCs w:val="16"/>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92</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320" w:type="dxa"/>
            <w:vAlign w:val="bottom"/>
            <w:gridSpan w:val="17"/>
          </w:tcPr>
          <w:p>
            <w:pPr>
              <w:spacing w:after="0" w:line="20" w:lineRule="exact"/>
              <w:rPr>
                <w:sz w:val="1"/>
                <w:szCs w:val="1"/>
                <w:color w:val="auto"/>
              </w:rPr>
            </w:pPr>
          </w:p>
        </w:tc>
        <w:tc>
          <w:tcPr>
            <w:tcW w:w="11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5"/>
              </w:rPr>
              <w:t>Exhibit Index</w:t>
            </w:r>
          </w:p>
        </w:tc>
        <w:tc>
          <w:tcPr>
            <w:tcW w:w="8320" w:type="dxa"/>
            <w:vAlign w:val="bottom"/>
            <w:gridSpan w:val="17"/>
          </w:tcPr>
          <w:p>
            <w:pPr>
              <w:spacing w:after="0"/>
              <w:rPr>
                <w:sz w:val="16"/>
                <w:szCs w:val="16"/>
                <w:color w:val="auto"/>
              </w:rPr>
            </w:pPr>
          </w:p>
        </w:tc>
        <w:tc>
          <w:tcPr>
            <w:tcW w:w="110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93</w:t>
            </w:r>
          </w:p>
        </w:tc>
      </w:tr>
      <w:tr>
        <w:trPr>
          <w:trHeight w:val="189"/>
        </w:trPr>
        <w:tc>
          <w:tcPr>
            <w:tcW w:w="840" w:type="dxa"/>
            <w:vAlign w:val="bottom"/>
          </w:tcPr>
          <w:p>
            <w:pPr>
              <w:spacing w:after="0"/>
              <w:rPr>
                <w:sz w:val="16"/>
                <w:szCs w:val="16"/>
                <w:color w:val="auto"/>
              </w:rPr>
            </w:pP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94</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FINANCIAL STATEMENTS</w:t>
      </w:r>
    </w:p>
    <w:p>
      <w:pPr>
        <w:spacing w:after="0" w:line="2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00" w:type="dxa"/>
            <w:vAlign w:val="bottom"/>
            <w:tcBorders>
              <w:bottom w:val="single" w:sz="8" w:color="auto"/>
            </w:tcBorders>
          </w:tcPr>
          <w:p>
            <w:pPr>
              <w:spacing w:after="0"/>
              <w:rPr>
                <w:sz w:val="19"/>
                <w:szCs w:val="19"/>
                <w:color w:val="auto"/>
              </w:rPr>
            </w:pPr>
          </w:p>
        </w:tc>
      </w:tr>
      <w:tr>
        <w:trPr>
          <w:trHeight w:val="215"/>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240" w:type="dxa"/>
            <w:vAlign w:val="bottom"/>
          </w:tcPr>
          <w:p>
            <w:pPr>
              <w:spacing w:after="0"/>
              <w:rPr>
                <w:sz w:val="18"/>
                <w:szCs w:val="18"/>
                <w:color w:val="auto"/>
              </w:rPr>
            </w:pPr>
          </w:p>
        </w:tc>
        <w:tc>
          <w:tcPr>
            <w:tcW w:w="18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02"/>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614.9</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741.1</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 and other receivables, net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r>
      <w:tr>
        <w:trPr>
          <w:trHeight w:val="222"/>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91.9</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1,516.6</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309.2</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402.2</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460.4</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2,576.7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2,983.5</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88"/>
        </w:trPr>
        <w:tc>
          <w:tcPr>
            <w:tcW w:w="6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2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 obligation</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w:t>
            </w:r>
          </w:p>
        </w:tc>
      </w:tr>
      <w:tr>
        <w:trPr>
          <w:trHeight w:val="222"/>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725.0</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1,201.5</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310.7</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 non-current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senior notes, net, non-current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1,377.8</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w:t>
            </w:r>
          </w:p>
        </w:tc>
      </w:tr>
      <w:tr>
        <w:trPr>
          <w:trHeight w:val="215"/>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3,149.3</w:t>
            </w:r>
          </w:p>
        </w:tc>
      </w:tr>
      <w:tr>
        <w:trPr>
          <w:trHeight w:val="20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10)</w:t>
            </w: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deficit:</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paid-in-capital</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2,598.0</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(2,742.3)</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15"/>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(165.8)</w:t>
            </w:r>
          </w:p>
        </w:tc>
      </w:tr>
      <w:tr>
        <w:trPr>
          <w:trHeight w:val="24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2,983.5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40"/>
          </w:cols>
          <w:pgMar w:left="320" w:top="119"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millions, except per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7"/>
                <w:szCs w:val="17"/>
                <w:color w:val="auto"/>
              </w:rPr>
            </w:pPr>
          </w:p>
        </w:tc>
        <w:tc>
          <w:tcPr>
            <w:tcW w:w="3020" w:type="dxa"/>
            <w:vAlign w:val="bottom"/>
            <w:gridSpan w:val="4"/>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9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9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1,866.6</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CCEEFF"/>
            </w:tcBorders>
          </w:tcPr>
          <w:p>
            <w:pPr>
              <w:ind w:left="26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(1)(2)</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356.5</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1,510.1</w:t>
            </w:r>
          </w:p>
        </w:tc>
        <w:tc>
          <w:tcPr>
            <w:tcW w:w="0" w:type="dxa"/>
            <w:vAlign w:val="bottom"/>
          </w:tcPr>
          <w:p>
            <w:pPr>
              <w:spacing w:after="0"/>
              <w:rPr>
                <w:sz w:val="1"/>
                <w:szCs w:val="1"/>
                <w:color w:val="auto"/>
              </w:rPr>
            </w:pPr>
          </w:p>
        </w:tc>
      </w:tr>
      <w:tr>
        <w:trPr>
          <w:trHeight w:val="22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(1)(2)</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714.4</w:t>
            </w:r>
          </w:p>
        </w:tc>
        <w:tc>
          <w:tcPr>
            <w:tcW w:w="0" w:type="dxa"/>
            <w:vAlign w:val="bottom"/>
          </w:tcPr>
          <w:p>
            <w:pPr>
              <w:spacing w:after="0"/>
              <w:rPr>
                <w:sz w:val="1"/>
                <w:szCs w:val="1"/>
                <w:color w:val="auto"/>
              </w:rPr>
            </w:pPr>
          </w:p>
        </w:tc>
      </w:tr>
      <w:tr>
        <w:trPr>
          <w:trHeight w:val="222"/>
        </w:trPr>
        <w:tc>
          <w:tcPr>
            <w:tcW w:w="396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2"/>
                <w:szCs w:val="22"/>
                <w:color w:val="auto"/>
                <w:vertAlign w:val="superscript"/>
              </w:rPr>
              <w:t>(1)(2)</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346.4</w:t>
            </w: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(1)(2)</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0" w:type="dxa"/>
            <w:vAlign w:val="bottom"/>
          </w:tcPr>
          <w:p>
            <w:pPr>
              <w:spacing w:after="0"/>
              <w:rPr>
                <w:sz w:val="1"/>
                <w:szCs w:val="1"/>
                <w:color w:val="auto"/>
              </w:rPr>
            </w:pPr>
          </w:p>
        </w:tc>
      </w:tr>
      <w:tr>
        <w:trPr>
          <w:trHeight w:val="222"/>
        </w:trPr>
        <w:tc>
          <w:tcPr>
            <w:tcW w:w="396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Net loss on real estate assets</w:t>
            </w:r>
            <w:r>
              <w:rPr>
                <w:rFonts w:ascii="Times New Roman" w:cs="Times New Roman" w:eastAsia="Times New Roman" w:hAnsi="Times New Roman"/>
                <w:sz w:val="22"/>
                <w:szCs w:val="22"/>
                <w:color w:val="auto"/>
                <w:vertAlign w:val="superscript"/>
              </w:rPr>
              <w:t>(3)</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5"/>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399.5</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382.7</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1,182.0</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1,238.8</w:t>
            </w:r>
          </w:p>
        </w:tc>
        <w:tc>
          <w:tcPr>
            <w:tcW w:w="0" w:type="dxa"/>
            <w:vAlign w:val="bottom"/>
          </w:tcPr>
          <w:p>
            <w:pPr>
              <w:spacing w:after="0"/>
              <w:rPr>
                <w:sz w:val="1"/>
                <w:szCs w:val="1"/>
                <w:color w:val="auto"/>
              </w:rPr>
            </w:pPr>
          </w:p>
        </w:tc>
      </w:tr>
      <w:tr>
        <w:trPr>
          <w:trHeight w:val="22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271.3</w:t>
            </w: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 net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(loss), net</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0" w:type="dxa"/>
            <w:vAlign w:val="bottom"/>
          </w:tcPr>
          <w:p>
            <w:pPr>
              <w:spacing w:after="0"/>
              <w:rPr>
                <w:sz w:val="1"/>
                <w:szCs w:val="1"/>
                <w:color w:val="auto"/>
              </w:rPr>
            </w:pPr>
          </w:p>
        </w:tc>
      </w:tr>
      <w:tr>
        <w:trPr>
          <w:trHeight w:val="24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349.5</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226.3</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per share-basic and diluted: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9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Diluted net income per share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960" w:type="dxa"/>
            <w:vAlign w:val="bottom"/>
            <w:vMerge w:val="continue"/>
          </w:tcPr>
          <w:p>
            <w:pPr>
              <w:spacing w:after="0"/>
              <w:rPr>
                <w:sz w:val="16"/>
                <w:szCs w:val="16"/>
                <w:color w:val="auto"/>
              </w:rPr>
            </w:pPr>
          </w:p>
        </w:tc>
        <w:tc>
          <w:tcPr>
            <w:tcW w:w="1160" w:type="dxa"/>
            <w:vAlign w:val="bottom"/>
            <w:tcBorders>
              <w:bottom w:val="single" w:sz="8" w:color="auto"/>
            </w:tcBorders>
          </w:tcPr>
          <w:p>
            <w:pPr>
              <w:jc w:val="right"/>
              <w:ind w:right="9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0.34</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973"/>
              <w:spacing w:after="0" w:line="194"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0.33</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1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ind w:right="51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0.65</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96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color w:val="auto"/>
              </w:rPr>
              <w:t>Weighted-average shares used in computing net income</w:t>
            </w:r>
          </w:p>
        </w:tc>
        <w:tc>
          <w:tcPr>
            <w:tcW w:w="1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314.5</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339.2</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323.9</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342.5</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per share attributable to common stockholders, basic</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line="156" w:lineRule="exact"/>
              <w:rPr>
                <w:sz w:val="20"/>
                <w:szCs w:val="20"/>
                <w:color w:val="auto"/>
              </w:rPr>
            </w:pPr>
            <w:r>
              <w:rPr>
                <w:rFonts w:ascii="Times New Roman" w:cs="Times New Roman" w:eastAsia="Times New Roman" w:hAnsi="Times New Roman"/>
                <w:sz w:val="17"/>
                <w:szCs w:val="17"/>
                <w:color w:val="auto"/>
              </w:rPr>
              <w:t>Weighted-average shares used in computing net income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9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180"/>
              <w:spacing w:after="0" w:line="170" w:lineRule="exact"/>
              <w:rPr>
                <w:sz w:val="20"/>
                <w:szCs w:val="20"/>
                <w:color w:val="auto"/>
              </w:rPr>
            </w:pPr>
            <w:r>
              <w:rPr>
                <w:rFonts w:ascii="Times New Roman" w:cs="Times New Roman" w:eastAsia="Times New Roman" w:hAnsi="Times New Roman"/>
                <w:sz w:val="17"/>
                <w:szCs w:val="17"/>
                <w:color w:val="auto"/>
              </w:rPr>
              <w:t>per share attributable to common stockholders,</w:t>
            </w:r>
          </w:p>
        </w:tc>
        <w:tc>
          <w:tcPr>
            <w:tcW w:w="1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316.4</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346.0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327.1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0" w:type="dxa"/>
            <w:vAlign w:val="bottom"/>
          </w:tcPr>
          <w:p>
            <w:pPr>
              <w:spacing w:after="0"/>
              <w:rPr>
                <w:sz w:val="1"/>
                <w:szCs w:val="1"/>
                <w:color w:val="auto"/>
              </w:rPr>
            </w:pPr>
          </w:p>
        </w:tc>
      </w:tr>
      <w:tr>
        <w:trPr>
          <w:trHeight w:val="209"/>
        </w:trPr>
        <w:tc>
          <w:tcPr>
            <w:tcW w:w="3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140" w:hanging="135"/>
        <w:spacing w:after="0"/>
        <w:tabs>
          <w:tab w:leader="none" w:pos="14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60" w:type="dxa"/>
            <w:vAlign w:val="bottom"/>
            <w:gridSpan w:val="4"/>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40" w:type="dxa"/>
            <w:vAlign w:val="bottom"/>
          </w:tcPr>
          <w:p>
            <w:pPr>
              <w:spacing w:after="0"/>
              <w:rPr>
                <w:sz w:val="16"/>
                <w:szCs w:val="16"/>
                <w:color w:val="auto"/>
              </w:rPr>
            </w:pPr>
          </w:p>
        </w:tc>
      </w:tr>
      <w:tr>
        <w:trPr>
          <w:trHeight w:val="232"/>
        </w:trPr>
        <w:tc>
          <w:tcPr>
            <w:tcW w:w="39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40" w:type="dxa"/>
            <w:vAlign w:val="bottom"/>
            <w:tcBorders>
              <w:bottom w:val="single" w:sz="8" w:color="auto"/>
            </w:tcBorders>
          </w:tcPr>
          <w:p>
            <w:pPr>
              <w:spacing w:after="0"/>
              <w:rPr>
                <w:sz w:val="20"/>
                <w:szCs w:val="20"/>
                <w:color w:val="auto"/>
              </w:rPr>
            </w:pPr>
          </w:p>
        </w:tc>
      </w:tr>
      <w:tr>
        <w:trPr>
          <w:trHeight w:val="218"/>
        </w:trPr>
        <w:tc>
          <w:tcPr>
            <w:tcW w:w="39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w w:val="93"/>
              </w:rPr>
              <w:t>2023</w:t>
            </w:r>
          </w:p>
        </w:tc>
      </w:tr>
      <w:tr>
        <w:trPr>
          <w:trHeight w:val="215"/>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revenue</w:t>
            </w: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22"/>
        </w:trPr>
        <w:tc>
          <w:tcPr>
            <w:tcW w:w="396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(4)</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178.9</w:t>
            </w:r>
          </w:p>
        </w:tc>
      </w:tr>
      <w:tr>
        <w:trPr>
          <w:trHeight w:val="222"/>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22"/>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4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260.8</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255.1</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100" w:firstLine="5"/>
        <w:spacing w:after="0"/>
        <w:tabs>
          <w:tab w:leader="none" w:pos="144"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expenses related to the Company's 2023 reduction in workforce such as severance, benefits and other related items during the three and nine months ended September 30, 2023.</w:t>
      </w:r>
    </w:p>
    <w:p>
      <w:pPr>
        <w:spacing w:after="0" w:line="200" w:lineRule="exact"/>
        <w:rPr>
          <w:rFonts w:ascii="Times New Roman" w:cs="Times New Roman" w:eastAsia="Times New Roman" w:hAnsi="Times New Roman"/>
          <w:sz w:val="17"/>
          <w:szCs w:val="17"/>
          <w:color w:val="auto"/>
          <w:vertAlign w:val="superscript"/>
        </w:rPr>
      </w:pPr>
    </w:p>
    <w:p>
      <w:pPr>
        <w:spacing w:after="0" w:line="205" w:lineRule="exact"/>
        <w:rPr>
          <w:rFonts w:ascii="Times New Roman" w:cs="Times New Roman" w:eastAsia="Times New Roman" w:hAnsi="Times New Roman"/>
          <w:sz w:val="17"/>
          <w:szCs w:val="17"/>
          <w:color w:val="auto"/>
          <w:vertAlign w:val="superscript"/>
        </w:rPr>
      </w:pPr>
    </w:p>
    <w:p>
      <w:pPr>
        <w:ind w:left="140" w:hanging="135"/>
        <w:spacing w:after="0"/>
        <w:tabs>
          <w:tab w:leader="none" w:pos="14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impairment charges related to real estate assets as a result of the Company's Virtual First work model.</w:t>
      </w:r>
    </w:p>
    <w:p>
      <w:pPr>
        <w:spacing w:after="0" w:line="235" w:lineRule="exact"/>
        <w:rPr>
          <w:rFonts w:ascii="Times New Roman" w:cs="Times New Roman" w:eastAsia="Times New Roman" w:hAnsi="Times New Roman"/>
          <w:sz w:val="17"/>
          <w:szCs w:val="17"/>
          <w:color w:val="auto"/>
          <w:vertAlign w:val="superscript"/>
        </w:rPr>
      </w:pPr>
    </w:p>
    <w:p>
      <w:pPr>
        <w:ind w:right="40" w:firstLine="5"/>
        <w:spacing w:after="0" w:line="306" w:lineRule="auto"/>
        <w:tabs>
          <w:tab w:leader="none" w:pos="144"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March 15, 2023, the Company's former President resigned, resulting in the reversal of $6.7 million in stock-based compensation expense. Of the total amount reversed, $4.4 million related to expense recognized prior to January 1, 2023.</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tcPr>
          <w:p>
            <w:pPr>
              <w:spacing w:after="0"/>
              <w:rPr>
                <w:sz w:val="17"/>
                <w:szCs w:val="17"/>
                <w:color w:val="auto"/>
              </w:rPr>
            </w:pPr>
          </w:p>
        </w:tc>
        <w:tc>
          <w:tcPr>
            <w:tcW w:w="2980" w:type="dxa"/>
            <w:vAlign w:val="bottom"/>
            <w:gridSpan w:val="4"/>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60" w:type="dxa"/>
            <w:vAlign w:val="bottom"/>
            <w:gridSpan w:val="4"/>
          </w:tcPr>
          <w:p>
            <w:pPr>
              <w:jc w:val="right"/>
              <w:ind w:right="93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2"/>
        </w:trPr>
        <w:tc>
          <w:tcPr>
            <w:tcW w:w="40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40" w:type="dxa"/>
            <w:vAlign w:val="bottom"/>
            <w:tcBorders>
              <w:bottom w:val="single" w:sz="8" w:color="auto"/>
            </w:tcBorders>
          </w:tcPr>
          <w:p>
            <w:pPr>
              <w:spacing w:after="0"/>
              <w:rPr>
                <w:sz w:val="20"/>
                <w:szCs w:val="20"/>
                <w:color w:val="auto"/>
              </w:rPr>
            </w:pPr>
          </w:p>
        </w:tc>
      </w:tr>
      <w:tr>
        <w:trPr>
          <w:trHeight w:val="218"/>
        </w:trPr>
        <w:tc>
          <w:tcPr>
            <w:tcW w:w="40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226.3</w:t>
            </w: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foreign currency translation adjustments</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170"/>
        </w:trPr>
        <w:tc>
          <w:tcPr>
            <w:tcW w:w="4040" w:type="dxa"/>
            <w:vAlign w:val="bottom"/>
          </w:tcPr>
          <w:p>
            <w:pPr>
              <w:ind w:left="220"/>
              <w:spacing w:after="0" w:line="170" w:lineRule="exact"/>
              <w:rPr>
                <w:sz w:val="20"/>
                <w:szCs w:val="20"/>
                <w:color w:val="auto"/>
              </w:rPr>
            </w:pPr>
            <w:r>
              <w:rPr>
                <w:rFonts w:ascii="Times New Roman" w:cs="Times New Roman" w:eastAsia="Times New Roman" w:hAnsi="Times New Roman"/>
                <w:sz w:val="17"/>
                <w:szCs w:val="17"/>
                <w:color w:val="auto"/>
              </w:rPr>
              <w:t>Change in net unrealized gains and losses on short-</w:t>
            </w: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5"/>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term investments</w:t>
            </w:r>
          </w:p>
        </w:tc>
        <w:tc>
          <w:tcPr>
            <w:tcW w:w="1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1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comprehensive income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15"/>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1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117.7</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238.3</w:t>
            </w:r>
          </w:p>
        </w:tc>
      </w:tr>
      <w:tr>
        <w:trPr>
          <w:trHeight w:val="20"/>
        </w:trPr>
        <w:tc>
          <w:tcPr>
            <w:tcW w:w="4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DEFICIT</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10"/>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Three Months Ended September 30, 2024</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10"/>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Three Months Ended September 30, 2023</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3"/>
                <w:szCs w:val="13"/>
                <w:color w:val="auto"/>
              </w:rPr>
            </w:pPr>
          </w:p>
        </w:tc>
        <w:tc>
          <w:tcPr>
            <w:tcW w:w="1160" w:type="dxa"/>
            <w:vAlign w:val="bottom"/>
            <w:gridSpan w:val="4"/>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880" w:type="dxa"/>
            <w:vAlign w:val="bottom"/>
            <w:gridSpan w:val="3"/>
            <w:vMerge w:val="restart"/>
          </w:tcPr>
          <w:p>
            <w:pPr>
              <w:jc w:val="center"/>
              <w:ind w:left="182"/>
              <w:spacing w:after="0" w:line="157" w:lineRule="exact"/>
              <w:rPr>
                <w:sz w:val="20"/>
                <w:szCs w:val="20"/>
                <w:color w:val="auto"/>
              </w:rPr>
            </w:pPr>
            <w:r>
              <w:rPr>
                <w:rFonts w:ascii="Times New Roman" w:cs="Times New Roman" w:eastAsia="Times New Roman" w:hAnsi="Times New Roman"/>
                <w:sz w:val="16"/>
                <w:szCs w:val="16"/>
                <w:b w:val="1"/>
                <w:bCs w:val="1"/>
                <w:color w:val="auto"/>
                <w:w w:val="97"/>
              </w:rPr>
              <w:t>Class B</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4"/>
            <w:vMerge w:val="restart"/>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Class B common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80" w:type="dxa"/>
            <w:vAlign w:val="bottom"/>
          </w:tcPr>
          <w:p>
            <w:pPr>
              <w:spacing w:after="0"/>
              <w:rPr>
                <w:sz w:val="4"/>
                <w:szCs w:val="4"/>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16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80" w:type="dxa"/>
            <w:vAlign w:val="bottom"/>
          </w:tcPr>
          <w:p>
            <w:pPr>
              <w:spacing w:after="0"/>
              <w:rPr>
                <w:sz w:val="4"/>
                <w:szCs w:val="4"/>
                <w:color w:val="auto"/>
              </w:rPr>
            </w:pPr>
          </w:p>
        </w:tc>
        <w:tc>
          <w:tcPr>
            <w:tcW w:w="740" w:type="dxa"/>
            <w:vAlign w:val="bottom"/>
            <w:vMerge w:val="restart"/>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116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40" w:type="dxa"/>
            <w:vAlign w:val="bottom"/>
            <w:gridSpan w:val="3"/>
          </w:tcPr>
          <w:p>
            <w:pPr>
              <w:jc w:val="center"/>
              <w:ind w:left="222"/>
              <w:spacing w:after="0" w:line="157" w:lineRule="exact"/>
              <w:rPr>
                <w:sz w:val="20"/>
                <w:szCs w:val="20"/>
                <w:color w:val="auto"/>
              </w:rPr>
            </w:pPr>
            <w:r>
              <w:rPr>
                <w:rFonts w:ascii="Times New Roman" w:cs="Times New Roman" w:eastAsia="Times New Roman" w:hAnsi="Times New Roman"/>
                <w:sz w:val="16"/>
                <w:szCs w:val="16"/>
                <w:b w:val="1"/>
                <w:bCs w:val="1"/>
                <w:color w:val="auto"/>
                <w:w w:val="95"/>
              </w:rPr>
              <w:t>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100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gridSpan w:val="3"/>
            <w:vMerge w:val="restart"/>
          </w:tcPr>
          <w:p>
            <w:pPr>
              <w:jc w:val="center"/>
              <w:ind w:right="80"/>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2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2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gridSpan w:val="3"/>
            <w:vMerge w:val="restart"/>
          </w:tcPr>
          <w:p>
            <w:pPr>
              <w:jc w:val="center"/>
              <w:ind w:right="80"/>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20" w:type="dxa"/>
            <w:vAlign w:val="bottom"/>
            <w:gridSpan w:val="2"/>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8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5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80" w:type="dxa"/>
            <w:vAlign w:val="bottom"/>
          </w:tcPr>
          <w:p>
            <w:pPr>
              <w:spacing w:after="0"/>
              <w:rPr>
                <w:sz w:val="18"/>
                <w:szCs w:val="18"/>
                <w:color w:val="auto"/>
              </w:rPr>
            </w:pPr>
          </w:p>
        </w:tc>
        <w:tc>
          <w:tcPr>
            <w:tcW w:w="74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0" w:type="dxa"/>
            <w:vAlign w:val="bottom"/>
          </w:tcPr>
          <w:p>
            <w:pPr>
              <w:spacing w:after="0"/>
              <w:rPr>
                <w:sz w:val="1"/>
                <w:szCs w:val="1"/>
                <w:color w:val="auto"/>
              </w:rPr>
            </w:pPr>
          </w:p>
        </w:tc>
      </w:tr>
      <w:tr>
        <w:trPr>
          <w:trHeight w:val="139"/>
        </w:trPr>
        <w:tc>
          <w:tcPr>
            <w:tcW w:w="100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6"/>
                <w:szCs w:val="16"/>
                <w:b w:val="1"/>
                <w:bCs w:val="1"/>
                <w:color w:val="auto"/>
              </w:rPr>
              <w:t>Balances at</w:t>
            </w: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5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318.7</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2,519.9</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(2,872.6)</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2,521.9</w:t>
            </w:r>
          </w:p>
        </w:tc>
        <w:tc>
          <w:tcPr>
            <w:tcW w:w="6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(2,895.6)</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(411.9)</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Release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Shares</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withheld</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related to net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share</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settlement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Repurchases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of common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(351.8)</w:t>
            </w:r>
          </w:p>
        </w:tc>
        <w:tc>
          <w:tcPr>
            <w:tcW w:w="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Exercise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stock options</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awards</w:t>
            </w:r>
          </w:p>
        </w:tc>
        <w:tc>
          <w:tcPr>
            <w:tcW w:w="5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Stock-based</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92.3</w:t>
            </w:r>
          </w:p>
        </w:tc>
        <w:tc>
          <w:tcPr>
            <w:tcW w:w="80" w:type="dxa"/>
            <w:vAlign w:val="bottom"/>
          </w:tcPr>
          <w:p>
            <w:pPr>
              <w:spacing w:after="0"/>
              <w:rPr>
                <w:sz w:val="13"/>
                <w:szCs w:val="13"/>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83.8</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Other</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w w:val="99"/>
              </w:rPr>
              <w:t>comprehensive</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5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106.7</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0" w:type="dxa"/>
            <w:vAlign w:val="bottom"/>
          </w:tcPr>
          <w:p>
            <w:pPr>
              <w:spacing w:after="0"/>
              <w:rPr>
                <w:sz w:val="1"/>
                <w:szCs w:val="1"/>
                <w:color w:val="auto"/>
              </w:rPr>
            </w:pPr>
          </w:p>
        </w:tc>
      </w:tr>
      <w:tr>
        <w:trPr>
          <w:trHeight w:val="140"/>
        </w:trPr>
        <w:tc>
          <w:tcPr>
            <w:tcW w:w="10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Balances at</w:t>
            </w:r>
          </w:p>
        </w:tc>
        <w:tc>
          <w:tcPr>
            <w:tcW w:w="5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306.3</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2,454.5</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(2,993.0)</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2,561.3</w:t>
            </w:r>
          </w:p>
        </w:tc>
        <w:tc>
          <w:tcPr>
            <w:tcW w:w="6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(2,874.7)</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w:t>
            </w:r>
          </w:p>
        </w:tc>
        <w:tc>
          <w:tcPr>
            <w:tcW w:w="0" w:type="dxa"/>
            <w:vAlign w:val="bottom"/>
          </w:tcPr>
          <w:p>
            <w:pPr>
              <w:spacing w:after="0"/>
              <w:rPr>
                <w:sz w:val="1"/>
                <w:szCs w:val="1"/>
                <w:color w:val="auto"/>
              </w:rPr>
            </w:pPr>
          </w:p>
        </w:tc>
      </w:tr>
      <w:tr>
        <w:trPr>
          <w:trHeight w:val="203"/>
        </w:trPr>
        <w:tc>
          <w:tcPr>
            <w:tcW w:w="1000" w:type="dxa"/>
            <w:vAlign w:val="bottom"/>
            <w:tcBorders>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end of period</w:t>
            </w: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6"/>
        </w:trPr>
        <w:tc>
          <w:tcPr>
            <w:tcW w:w="10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 2024</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Nine Months Ended September 30, 2023</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3"/>
                <w:szCs w:val="13"/>
                <w:color w:val="auto"/>
              </w:rPr>
            </w:pPr>
          </w:p>
        </w:tc>
        <w:tc>
          <w:tcPr>
            <w:tcW w:w="1160" w:type="dxa"/>
            <w:vAlign w:val="bottom"/>
            <w:gridSpan w:val="4"/>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880" w:type="dxa"/>
            <w:vAlign w:val="bottom"/>
            <w:gridSpan w:val="3"/>
            <w:vMerge w:val="restart"/>
          </w:tcPr>
          <w:p>
            <w:pPr>
              <w:jc w:val="center"/>
              <w:ind w:left="182"/>
              <w:spacing w:after="0" w:line="157" w:lineRule="exact"/>
              <w:rPr>
                <w:sz w:val="20"/>
                <w:szCs w:val="20"/>
                <w:color w:val="auto"/>
              </w:rPr>
            </w:pPr>
            <w:r>
              <w:rPr>
                <w:rFonts w:ascii="Times New Roman" w:cs="Times New Roman" w:eastAsia="Times New Roman" w:hAnsi="Times New Roman"/>
                <w:sz w:val="16"/>
                <w:szCs w:val="16"/>
                <w:b w:val="1"/>
                <w:bCs w:val="1"/>
                <w:color w:val="auto"/>
                <w:w w:val="97"/>
              </w:rPr>
              <w:t>Class B</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4"/>
            <w:vMerge w:val="restart"/>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Class B common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80" w:type="dxa"/>
            <w:vAlign w:val="bottom"/>
          </w:tcPr>
          <w:p>
            <w:pPr>
              <w:spacing w:after="0"/>
              <w:rPr>
                <w:sz w:val="4"/>
                <w:szCs w:val="4"/>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16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80" w:type="dxa"/>
            <w:vAlign w:val="bottom"/>
          </w:tcPr>
          <w:p>
            <w:pPr>
              <w:spacing w:after="0"/>
              <w:rPr>
                <w:sz w:val="4"/>
                <w:szCs w:val="4"/>
                <w:color w:val="auto"/>
              </w:rPr>
            </w:pPr>
          </w:p>
        </w:tc>
        <w:tc>
          <w:tcPr>
            <w:tcW w:w="740" w:type="dxa"/>
            <w:vAlign w:val="bottom"/>
            <w:vMerge w:val="restart"/>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116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40" w:type="dxa"/>
            <w:vAlign w:val="bottom"/>
            <w:gridSpan w:val="3"/>
          </w:tcPr>
          <w:p>
            <w:pPr>
              <w:jc w:val="center"/>
              <w:ind w:left="222"/>
              <w:spacing w:after="0" w:line="157" w:lineRule="exact"/>
              <w:rPr>
                <w:sz w:val="20"/>
                <w:szCs w:val="20"/>
                <w:color w:val="auto"/>
              </w:rPr>
            </w:pPr>
            <w:r>
              <w:rPr>
                <w:rFonts w:ascii="Times New Roman" w:cs="Times New Roman" w:eastAsia="Times New Roman" w:hAnsi="Times New Roman"/>
                <w:sz w:val="16"/>
                <w:szCs w:val="16"/>
                <w:b w:val="1"/>
                <w:bCs w:val="1"/>
                <w:color w:val="auto"/>
                <w:w w:val="95"/>
              </w:rPr>
              <w:t>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100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gridSpan w:val="3"/>
            <w:vMerge w:val="restart"/>
          </w:tcPr>
          <w:p>
            <w:pPr>
              <w:jc w:val="center"/>
              <w:ind w:right="80"/>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2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2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gridSpan w:val="3"/>
            <w:vMerge w:val="restart"/>
          </w:tcPr>
          <w:p>
            <w:pPr>
              <w:jc w:val="center"/>
              <w:ind w:right="80"/>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20" w:type="dxa"/>
            <w:vAlign w:val="bottom"/>
            <w:gridSpan w:val="2"/>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8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5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80" w:type="dxa"/>
            <w:vAlign w:val="bottom"/>
          </w:tcPr>
          <w:p>
            <w:pPr>
              <w:spacing w:after="0"/>
              <w:rPr>
                <w:sz w:val="18"/>
                <w:szCs w:val="18"/>
                <w:color w:val="auto"/>
              </w:rPr>
            </w:pPr>
          </w:p>
        </w:tc>
        <w:tc>
          <w:tcPr>
            <w:tcW w:w="74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0" w:type="dxa"/>
            <w:vAlign w:val="bottom"/>
          </w:tcPr>
          <w:p>
            <w:pPr>
              <w:spacing w:after="0"/>
              <w:rPr>
                <w:sz w:val="1"/>
                <w:szCs w:val="1"/>
                <w:color w:val="auto"/>
              </w:rPr>
            </w:pPr>
          </w:p>
        </w:tc>
      </w:tr>
      <w:tr>
        <w:trPr>
          <w:trHeight w:val="139"/>
        </w:trPr>
        <w:tc>
          <w:tcPr>
            <w:tcW w:w="100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6"/>
                <w:szCs w:val="16"/>
                <w:b w:val="1"/>
                <w:bCs w:val="1"/>
                <w:color w:val="auto"/>
              </w:rPr>
              <w:t>Balances at</w:t>
            </w: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5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336.7</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2,598.0</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(2,742.3)</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2,511.6</w:t>
            </w:r>
          </w:p>
        </w:tc>
        <w:tc>
          <w:tcPr>
            <w:tcW w:w="6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(2,772.1)</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Release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Shares</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withheld</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related to net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share</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settlement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Repurchases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of common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(895.6)</w:t>
            </w:r>
          </w:p>
        </w:tc>
        <w:tc>
          <w:tcPr>
            <w:tcW w:w="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Exercise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stock options</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awards</w:t>
            </w:r>
          </w:p>
        </w:tc>
        <w:tc>
          <w:tcPr>
            <w:tcW w:w="5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Stock-based</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260.8</w:t>
            </w:r>
          </w:p>
        </w:tc>
        <w:tc>
          <w:tcPr>
            <w:tcW w:w="80" w:type="dxa"/>
            <w:vAlign w:val="bottom"/>
          </w:tcPr>
          <w:p>
            <w:pPr>
              <w:spacing w:after="0"/>
              <w:rPr>
                <w:sz w:val="13"/>
                <w:szCs w:val="13"/>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255.1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Other</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w w:val="99"/>
              </w:rPr>
              <w:t>comprehensive</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5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349.5</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0" w:type="dxa"/>
            <w:vAlign w:val="bottom"/>
          </w:tcPr>
          <w:p>
            <w:pPr>
              <w:spacing w:after="0"/>
              <w:rPr>
                <w:sz w:val="1"/>
                <w:szCs w:val="1"/>
                <w:color w:val="auto"/>
              </w:rPr>
            </w:pPr>
          </w:p>
        </w:tc>
      </w:tr>
      <w:tr>
        <w:trPr>
          <w:trHeight w:val="140"/>
        </w:trPr>
        <w:tc>
          <w:tcPr>
            <w:tcW w:w="10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Balances at</w:t>
            </w:r>
          </w:p>
        </w:tc>
        <w:tc>
          <w:tcPr>
            <w:tcW w:w="5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306.3</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2,454.5</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(2,993.0)</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2,561.3</w:t>
            </w:r>
          </w:p>
        </w:tc>
        <w:tc>
          <w:tcPr>
            <w:tcW w:w="6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(2,874.7)</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end of period</w:t>
            </w: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w:t>
      </w:r>
    </w:p>
    <w:p>
      <w:pPr>
        <w:sectPr>
          <w:pgSz w:w="11900" w:h="16838" w:orient="portrait"/>
          <w:cols w:equalWidth="0" w:num="1">
            <w:col w:w="11340"/>
          </w:cols>
          <w:pgMar w:left="320" w:top="119" w:right="239" w:bottom="456"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9" w:right="239" w:bottom="456"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21"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79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349.5</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w:t>
            </w: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on real estate assets</w:t>
            </w:r>
          </w:p>
        </w:tc>
        <w:tc>
          <w:tcPr>
            <w:tcW w:w="96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96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96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6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Tenant improvement allowance reimbursement</w:t>
            </w:r>
          </w:p>
        </w:tc>
        <w:tc>
          <w:tcPr>
            <w:tcW w:w="96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lease termination</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680.3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583.4</w:t>
            </w:r>
          </w:p>
        </w:tc>
      </w:tr>
      <w:tr>
        <w:trPr>
          <w:trHeight w:val="19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96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19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330.0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417.2</w:t>
            </w:r>
          </w:p>
        </w:tc>
      </w:tr>
      <w:tr>
        <w:trPr>
          <w:trHeight w:val="19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96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restricted stock units and awards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net of taxes withheld</w:t>
            </w:r>
          </w:p>
        </w:tc>
        <w:tc>
          <w:tcPr>
            <w:tcW w:w="96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acquisition-related holdback</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(1,110.5)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(627.2)</w:t>
            </w: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w:t>
            </w: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614.9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w:t>
            </w:r>
          </w:p>
        </w:tc>
      </w:tr>
      <w:tr>
        <w:trPr>
          <w:trHeight w:val="19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517.6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604.3</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3"/>
        </w:trPr>
        <w:tc>
          <w:tcPr>
            <w:tcW w:w="80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0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26"/>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the Business and Summary of Significant Accounting Policies</w:t>
      </w: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Business</w:t>
      </w:r>
    </w:p>
    <w:p>
      <w:pPr>
        <w:spacing w:after="0" w:line="122"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Dropbox, Inc. (the “Company” or “Dropbox”) helps keep life organized and work moving. The Company was incorporated in May 2007 as Evenflow, Inc., a Delaware corporation, and changed its name to Dropbox, Inc. in October 2009. The Company is headquartered in San Francisco, California.</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consolidation</w:t>
      </w:r>
    </w:p>
    <w:p>
      <w:pPr>
        <w:spacing w:after="0" w:line="122"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United States of America generally accepted accounting principles (“GAAP”) and applicable rules and regulations of the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195"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The condensed consolidated balance sheet as of December 31, 2023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and the statements of cash flows for the interim periods, but are not necessarily indicative of the results of operations to be anticipated for the full fiscal year ended December 31, 2024 or any future period.</w:t>
      </w:r>
    </w:p>
    <w:p>
      <w:pPr>
        <w:spacing w:after="0" w:line="195"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The unaudited condensed consolidated financial statements should be read in conjunction with the audited consolidated financial statements and the related notes thereto as of and for the year ended December 31, 2023, included in the Company's Annual Report on Form 10-K on file with the SEC ("Annual Report").</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2" w:lineRule="exact"/>
        <w:rPr>
          <w:sz w:val="20"/>
          <w:szCs w:val="20"/>
          <w:color w:val="auto"/>
        </w:rPr>
      </w:pPr>
    </w:p>
    <w:p>
      <w:pPr>
        <w:ind w:right="240" w:firstLine="392"/>
        <w:spacing w:after="0" w:line="26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195"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The Company’s most significant estimates and judgments are related to the valuation of right-of-use and other lease related property and equipment assets as well as income taxes.</w:t>
      </w:r>
    </w:p>
    <w:p>
      <w:pPr>
        <w:spacing w:after="0" w:line="173"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The Company reviews the useful lives of long-lived assets on an ongoing basis, and effective January 1, 2024, the Company changed the estimate of the useful lives of certain infrastructure server and component assets, which are included in property and equipment, net and are depreciated through cost of revenue, from four to five years. The Company has extended the economic life of these assets in light of recent technological advancements. The effect of this change in estimate during the three months ended September 30, 2024 was a reduction in depreciation expense of $6.9 million, and a benefit to net income of $5.2 million or $0.02 per basic and diluted share. The effect of this change in estimate during the nine months ended September 30, 2024 was a reduction in depreciation expense of $26.3 million, and a benefit to net income of $20.4 million or $0.06 per basic and diluted share. The Company estimates that this change in estimate will have a favorable impact to cost of revenue in fiscal year 2024 of approximately $30.5 million. The impact from the change in the Company's estimate was calculated based on assets that existed as of the effective date of the change and applying the revised estimated useful lives prospectively.</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Financial information about segments and geographic areas</w:t>
      </w:r>
    </w:p>
    <w:p>
      <w:pPr>
        <w:spacing w:after="0" w:line="122" w:lineRule="exact"/>
        <w:rPr>
          <w:sz w:val="20"/>
          <w:szCs w:val="20"/>
          <w:color w:val="auto"/>
        </w:rPr>
      </w:pPr>
    </w:p>
    <w:p>
      <w:pPr>
        <w:ind w:right="180" w:firstLine="392"/>
        <w:spacing w:after="0" w:line="266" w:lineRule="auto"/>
        <w:rPr>
          <w:sz w:val="20"/>
          <w:szCs w:val="20"/>
          <w:color w:val="auto"/>
        </w:rPr>
      </w:pPr>
      <w:r>
        <w:rPr>
          <w:rFonts w:ascii="Times New Roman" w:cs="Times New Roman" w:eastAsia="Times New Roman" w:hAnsi="Times New Roman"/>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to the Company's condensed consolidated financial statements included elsewhere in this Quarterly Report on Form 10-Q for information regarding the Company’s long-lived assets and revenue by geography.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transactions</w:t>
      </w:r>
    </w:p>
    <w:p>
      <w:pPr>
        <w:spacing w:after="0" w:line="122"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net of tax.</w:t>
      </w:r>
    </w:p>
    <w:p>
      <w:pPr>
        <w:spacing w:after="0" w:line="188"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Gains and losses realized from foreign currency transactions (those transactions denominated in currencies other than the foreign subsidiaries’ functional currency) are included in other income (loss), net. Monetary assets and liabilities are remeasured using foreign currency exchange rates at the end of the period, and non-monetary assets are remeasured based on historical exchange rates. Foreign currency transaction gains or losses were immaterial during the three and nine months ended September 30, 2024 and 2023, respectively.</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2" w:lineRule="exact"/>
        <w:rPr>
          <w:sz w:val="20"/>
          <w:szCs w:val="20"/>
          <w:color w:val="auto"/>
        </w:rPr>
      </w:pPr>
    </w:p>
    <w:p>
      <w:pPr>
        <w:jc w:val="both"/>
        <w:ind w:right="280" w:firstLine="392"/>
        <w:spacing w:after="0" w:line="276" w:lineRule="auto"/>
        <w:rPr>
          <w:sz w:val="20"/>
          <w:szCs w:val="20"/>
          <w:color w:val="auto"/>
        </w:rPr>
      </w:pPr>
      <w:r>
        <w:rPr>
          <w:rFonts w:ascii="Times New Roman" w:cs="Times New Roman" w:eastAsia="Times New Roman" w:hAnsi="Times New Roman"/>
          <w:sz w:val="17"/>
          <w:szCs w:val="17"/>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57" w:lineRule="exact"/>
        <w:rPr>
          <w:sz w:val="20"/>
          <w:szCs w:val="20"/>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24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The Company’s subscription agreements are generally non-cancelable and have monthly or annual contractual terms with a small percentage having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w:t>
      </w:r>
    </w:p>
    <w:p>
      <w:pPr>
        <w:spacing w:after="0" w:line="197" w:lineRule="exact"/>
        <w:rPr>
          <w:sz w:val="20"/>
          <w:szCs w:val="20"/>
          <w:color w:val="auto"/>
        </w:rPr>
      </w:pPr>
    </w:p>
    <w:p>
      <w:pPr>
        <w:jc w:val="both"/>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Company bills in advance for monthly contracts and typically bills annually in advance for contracts with terms of one year or longer. The Company also recognizes an immaterial amount of contract assets, or unbilled receivables, primarily related to consideration for services completed but not billed at the reporting date. Unbilled receivables are classified as receivables when the Company has the right to invoice the customer.</w:t>
      </w:r>
    </w:p>
    <w:p>
      <w:pPr>
        <w:spacing w:after="0" w:line="188" w:lineRule="exact"/>
        <w:rPr>
          <w:sz w:val="20"/>
          <w:szCs w:val="20"/>
          <w:color w:val="auto"/>
        </w:rPr>
      </w:pPr>
    </w:p>
    <w:p>
      <w:pPr>
        <w:ind w:right="500" w:firstLine="392"/>
        <w:spacing w:after="0" w:line="295" w:lineRule="auto"/>
        <w:rPr>
          <w:sz w:val="20"/>
          <w:szCs w:val="20"/>
          <w:color w:val="auto"/>
        </w:rPr>
      </w:pPr>
      <w:r>
        <w:rPr>
          <w:rFonts w:ascii="Times New Roman" w:cs="Times New Roman" w:eastAsia="Times New Roman" w:hAnsi="Times New Roman"/>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73" w:lineRule="exact"/>
        <w:rPr>
          <w:sz w:val="20"/>
          <w:szCs w:val="20"/>
          <w:color w:val="auto"/>
        </w:rPr>
      </w:pPr>
    </w:p>
    <w:p>
      <w:pPr>
        <w:jc w:val="both"/>
        <w:ind w:right="140" w:firstLine="392"/>
        <w:spacing w:after="0" w:line="276" w:lineRule="auto"/>
        <w:rPr>
          <w:sz w:val="20"/>
          <w:szCs w:val="20"/>
          <w:color w:val="auto"/>
        </w:rPr>
      </w:pPr>
      <w:r>
        <w:rPr>
          <w:rFonts w:ascii="Times New Roman" w:cs="Times New Roman" w:eastAsia="Times New Roman" w:hAnsi="Times New Roman"/>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88" w:lineRule="exact"/>
        <w:rPr>
          <w:sz w:val="20"/>
          <w:szCs w:val="20"/>
          <w:color w:val="auto"/>
        </w:rPr>
      </w:pPr>
    </w:p>
    <w:p>
      <w:pPr>
        <w:jc w:val="both"/>
        <w:ind w:right="280" w:firstLine="392"/>
        <w:spacing w:after="0" w:line="276" w:lineRule="auto"/>
        <w:rPr>
          <w:sz w:val="20"/>
          <w:szCs w:val="20"/>
          <w:color w:val="auto"/>
        </w:rPr>
      </w:pPr>
      <w:r>
        <w:rPr>
          <w:rFonts w:ascii="Times New Roman" w:cs="Times New Roman" w:eastAsia="Times New Roman" w:hAnsi="Times New Roman"/>
          <w:sz w:val="17"/>
          <w:szCs w:val="17"/>
          <w:color w:val="auto"/>
        </w:rPr>
        <w:t>The Company recognized $353.8 million and $681.5 million of revenue during the three and nine months ended September 30, 2024, respectively, and recognized $349.9 million and $661.1 million of revenue during the three and nine months ended September 30, 2023, respectively, that was included in the deferred revenue balances at the beginning of their respective periods.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September 30, 2024, future estimated revenue related to performance obligations that were unsatisfied or partially unsatisfied was $815.3 million.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substantial majority of the unsatisfied performance obligations will be satisfied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2"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Since August 2015, the Company has granted RSUs, which have a service based vesting condition over a four-year period vesting quarterly, as the only stock-based awards to its employees, with the exception of restricted stock awards ("RSAs") granted to its co-founder and certain executives, and has not granted any stock options to employees under the Dropbox Equity Incentive Plans. The Company recognizes compensation expense associated with RSUs on a straight-line basis over the requisite service period and accounts for forfeitures in the period in which they occur.</w:t>
      </w:r>
    </w:p>
    <w:p>
      <w:pPr>
        <w:spacing w:after="0" w:line="200" w:lineRule="exact"/>
        <w:rPr>
          <w:sz w:val="20"/>
          <w:szCs w:val="20"/>
          <w:color w:val="auto"/>
        </w:rPr>
      </w:pPr>
    </w:p>
    <w:p>
      <w:pPr>
        <w:spacing w:after="0" w:line="214"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The Board of Directors determines the fair value of each share of underlying common stock based on the closing price of the Company's Class A common stock as reported on the Nasdaq Global Select Market on the date of the grant.</w:t>
      </w:r>
    </w:p>
    <w:p>
      <w:pPr>
        <w:spacing w:after="0" w:line="173"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7"/>
          <w:szCs w:val="17"/>
          <w:color w:val="auto"/>
        </w:rPr>
        <w:t>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Company estimated the grant date fair value of the Co-Founder Grant using a model based on multiple stock price paths developed through the use of a Monte Carlo simulation that incorporates into the valuation the possibility that certain stock price targets may not be satisfied. The first tranche of the Co-Founder Grant vested in the fourth quarter of 2021. The stock-based compensation expense for the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 See Note 12, "Stockholders' Deficit" to the Company's condensed consolidated financial statements included elsewhere in this Quarterly Report on Form 10-Q for further information.</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22" w:lineRule="exact"/>
        <w:rPr>
          <w:sz w:val="20"/>
          <w:szCs w:val="20"/>
          <w:color w:val="auto"/>
        </w:rPr>
      </w:pPr>
    </w:p>
    <w:p>
      <w:pPr>
        <w:ind w:right="80" w:firstLine="392"/>
        <w:spacing w:after="0" w:line="261" w:lineRule="auto"/>
        <w:rPr>
          <w:sz w:val="20"/>
          <w:szCs w:val="20"/>
          <w:color w:val="auto"/>
        </w:rPr>
      </w:pPr>
      <w:r>
        <w:rPr>
          <w:rFonts w:ascii="Times New Roman" w:cs="Times New Roman" w:eastAsia="Times New Roman" w:hAnsi="Times New Roman"/>
          <w:sz w:val="17"/>
          <w:szCs w:val="17"/>
          <w:color w:val="auto"/>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Reduction in Workforce</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2024 Reduction in Workforce</w:t>
      </w:r>
    </w:p>
    <w:p>
      <w:pPr>
        <w:spacing w:after="0" w:line="122" w:lineRule="exact"/>
        <w:rPr>
          <w:sz w:val="20"/>
          <w:szCs w:val="20"/>
          <w:color w:val="auto"/>
        </w:rPr>
      </w:pPr>
    </w:p>
    <w:p>
      <w:pPr>
        <w:ind w:right="200" w:firstLine="392"/>
        <w:spacing w:after="0" w:line="276" w:lineRule="auto"/>
        <w:rPr>
          <w:sz w:val="20"/>
          <w:szCs w:val="20"/>
          <w:color w:val="auto"/>
        </w:rPr>
      </w:pPr>
      <w:r>
        <w:rPr>
          <w:rFonts w:ascii="Times New Roman" w:cs="Times New Roman" w:eastAsia="Times New Roman" w:hAnsi="Times New Roman"/>
          <w:sz w:val="17"/>
          <w:szCs w:val="17"/>
          <w:color w:val="auto"/>
        </w:rPr>
        <w:t>On October 30, 2024, the Company announced a reduction of its global workforce by approximately 20% to streamline the Company’s team structure to better align with its long-term growth and profitability objectives. See Note 16 "Subsequent Events" to our condensed consolidated financial statements for further information.</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2023 Reduction in Workforce</w:t>
      </w:r>
    </w:p>
    <w:p>
      <w:pPr>
        <w:spacing w:after="0" w:line="174" w:lineRule="exact"/>
        <w:rPr>
          <w:sz w:val="20"/>
          <w:szCs w:val="20"/>
          <w:color w:val="auto"/>
        </w:rPr>
      </w:pPr>
    </w:p>
    <w:p>
      <w:pPr>
        <w:ind w:right="300" w:firstLine="392"/>
        <w:spacing w:after="0" w:line="269" w:lineRule="auto"/>
        <w:rPr>
          <w:sz w:val="20"/>
          <w:szCs w:val="20"/>
          <w:color w:val="auto"/>
        </w:rPr>
      </w:pPr>
      <w:r>
        <w:rPr>
          <w:rFonts w:ascii="Times New Roman" w:cs="Times New Roman" w:eastAsia="Times New Roman" w:hAnsi="Times New Roman"/>
          <w:sz w:val="17"/>
          <w:szCs w:val="17"/>
          <w:color w:val="auto"/>
        </w:rPr>
        <w:t>On April 27, 2023, the Company announced a reduction of its global workforce by approximately 16% to streamline its team structure in support of its long-term growth and profitability objectives. During the three and nine months ended September 30, 2023, the Company incurred $1.4 million and $38.9 million, respectively, in charges in connection with the reduction in workforce, primarily consisting of cash expenditures for severance payments, employee benefits and 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These severance charges are included within the Company's condensed consolidated statements of operations for the three and nine months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2023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2"/>
        </w:trPr>
        <w:tc>
          <w:tcPr>
            <w:tcW w:w="694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September 30, 2023</w:t>
            </w:r>
          </w:p>
        </w:tc>
      </w:tr>
      <w:tr>
        <w:trPr>
          <w:trHeight w:val="218"/>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revenue</w:t>
            </w:r>
          </w:p>
        </w:tc>
        <w:tc>
          <w:tcPr>
            <w:tcW w:w="1860" w:type="dxa"/>
            <w:vAlign w:val="bottom"/>
            <w:shd w:val="clear" w:color="auto" w:fill="CCEEFF"/>
          </w:tcPr>
          <w:p>
            <w:pPr>
              <w:jc w:val="right"/>
              <w:ind w:right="1673"/>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0.2</w:t>
            </w:r>
          </w:p>
        </w:tc>
        <w:tc>
          <w:tcPr>
            <w:tcW w:w="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2"/>
        </w:trPr>
        <w:tc>
          <w:tcPr>
            <w:tcW w:w="6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0.6</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22"/>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0.3</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2"/>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0.3</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4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Charges</w:t>
            </w:r>
          </w:p>
        </w:tc>
        <w:tc>
          <w:tcPr>
            <w:tcW w:w="1860" w:type="dxa"/>
            <w:vAlign w:val="bottom"/>
            <w:tcBorders>
              <w:bottom w:val="single" w:sz="8" w:color="auto"/>
            </w:tcBorders>
            <w:shd w:val="clear" w:color="auto" w:fill="CCEEFF"/>
          </w:tcPr>
          <w:p>
            <w:pPr>
              <w:jc w:val="right"/>
              <w:ind w:right="1673"/>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1.4</w:t>
            </w:r>
          </w:p>
        </w:tc>
        <w:tc>
          <w:tcPr>
            <w:tcW w:w="2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22" w:lineRule="exact"/>
        <w:rPr>
          <w:sz w:val="20"/>
          <w:szCs w:val="20"/>
          <w:color w:val="auto"/>
        </w:rPr>
      </w:pPr>
    </w:p>
    <w:p>
      <w:pPr>
        <w:ind w:right="180" w:firstLine="392"/>
        <w:spacing w:after="0" w:line="276" w:lineRule="auto"/>
        <w:rPr>
          <w:sz w:val="20"/>
          <w:szCs w:val="20"/>
          <w:color w:val="auto"/>
        </w:rPr>
      </w:pPr>
      <w:r>
        <w:rPr>
          <w:rFonts w:ascii="Times New Roman" w:cs="Times New Roman" w:eastAsia="Times New Roman" w:hAnsi="Times New Roman"/>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88"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The Company monitors its credit risk by considering factors such as historical experience, credit ratings, current economic conditions, and reasonable and supportable forecasts.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Short-term investments</w:t>
      </w:r>
    </w:p>
    <w:p>
      <w:pPr>
        <w:spacing w:after="0" w:line="122"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200"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The Company's short-term investments are recorded at fair value each reporting period. Unrealized gains and losses on these short-term investments are reported as a separate component of accumulated other comprehensive loss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(loss),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and nine months ended September 30, 2024. As of September 30, 2024 and December 31, 2023, no allowance for credit losses in short-term investments was recorded.</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122"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primarily of cash, cash equivalents, accounts receivable, and short-term investments. Although the Company deposits its cash and cash equivalents with multiple well-established financial institutions, the deposits, at times, may exceed federally insured limits. The Company has not experienced any losses on its deposits of cash and cash equivalents and management believes that the institutions where the Company has deposits are financially stable and, accordingly, minimal credit risk exists.</w:t>
      </w:r>
    </w:p>
    <w:p>
      <w:pPr>
        <w:spacing w:after="0" w:line="195"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Trade accounts receivable are typically unsecured and are derived from revenue earned from customers located around the world. Two distribution partners accounted for 10% and 47% of total trade and other receivables, net as of September 30, 2024. Two distribution partners accounted for 11% and 43% of total trade and other receivables, net as of December 31, 2023. No customer accounted for more than 10% of the Company’s revenue in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Deferred commissions, net</w:t>
      </w:r>
    </w:p>
    <w:p>
      <w:pPr>
        <w:spacing w:after="0" w:line="122" w:lineRule="exact"/>
        <w:rPr>
          <w:sz w:val="20"/>
          <w:szCs w:val="20"/>
          <w:color w:val="auto"/>
        </w:rPr>
      </w:pPr>
    </w:p>
    <w:p>
      <w:pPr>
        <w:ind w:firstLine="392"/>
        <w:spacing w:after="0" w:line="265" w:lineRule="auto"/>
        <w:rPr>
          <w:sz w:val="20"/>
          <w:szCs w:val="20"/>
          <w:color w:val="auto"/>
        </w:rPr>
      </w:pPr>
      <w:r>
        <w:rPr>
          <w:rFonts w:ascii="Times New Roman" w:cs="Times New Roman" w:eastAsia="Times New Roman" w:hAnsi="Times New Roman"/>
          <w:sz w:val="17"/>
          <w:szCs w:val="17"/>
          <w:color w:val="auto"/>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condensed consolidated balance sheets. The Company deferred incremental costs of obtaining a contract of $6.8 million and $22.3 million during the three and nine months ended September 30, 2024, respectively and $6.4 million and $18.7 million during the three and nine months ended September 30, 2023, respectively.</w:t>
      </w:r>
    </w:p>
    <w:p>
      <w:pPr>
        <w:spacing w:after="0" w:line="200" w:lineRule="exact"/>
        <w:rPr>
          <w:sz w:val="20"/>
          <w:szCs w:val="20"/>
          <w:color w:val="auto"/>
        </w:rPr>
      </w:pPr>
    </w:p>
    <w:p>
      <w:pPr>
        <w:spacing w:after="0" w:line="211" w:lineRule="exact"/>
        <w:rPr>
          <w:sz w:val="20"/>
          <w:szCs w:val="20"/>
          <w:color w:val="auto"/>
        </w:rPr>
      </w:pPr>
    </w:p>
    <w:p>
      <w:pPr>
        <w:jc w:val="both"/>
        <w:ind w:right="100" w:firstLine="392"/>
        <w:spacing w:after="0" w:line="276" w:lineRule="auto"/>
        <w:rPr>
          <w:sz w:val="20"/>
          <w:szCs w:val="20"/>
          <w:color w:val="auto"/>
        </w:rPr>
      </w:pPr>
      <w:r>
        <w:rPr>
          <w:rFonts w:ascii="Times New Roman" w:cs="Times New Roman" w:eastAsia="Times New Roman" w:hAnsi="Times New Roman"/>
          <w:sz w:val="17"/>
          <w:szCs w:val="17"/>
          <w:color w:val="auto"/>
        </w:rPr>
        <w:t>Deferred commissions, net included in prepaid and other current assets were $22.9 million and $23.4 million as of September 30, 2024 and December 31, 2023, respectively. Deferred commissions, net included in other assets were $22.2 million and $22.0 million as of September 30, 2024 and December 31, 2023, respectively.</w:t>
      </w:r>
    </w:p>
    <w:p>
      <w:pPr>
        <w:spacing w:after="0" w:line="188" w:lineRule="exact"/>
        <w:rPr>
          <w:sz w:val="20"/>
          <w:szCs w:val="20"/>
          <w:color w:val="auto"/>
        </w:rPr>
      </w:pPr>
    </w:p>
    <w:p>
      <w:pPr>
        <w:ind w:right="100" w:firstLine="392"/>
        <w:spacing w:after="0" w:line="264" w:lineRule="auto"/>
        <w:rPr>
          <w:sz w:val="20"/>
          <w:szCs w:val="20"/>
          <w:color w:val="auto"/>
        </w:rPr>
      </w:pPr>
      <w:r>
        <w:rPr>
          <w:rFonts w:ascii="Times New Roman" w:cs="Times New Roman" w:eastAsia="Times New Roman" w:hAnsi="Times New Roman"/>
          <w:sz w:val="17"/>
          <w:szCs w:val="17"/>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$7.7 million and $22.6 million for the three and nine months ended September 30, 2024, respectively and $9.4 million and $30.2 million for the three and nine months ended September 30, 2023, respectively. Amortization of deferred commissions costs are included in sales and marketing expense in the accompanying condensed consolidated statements of operations. There was no impairment loss in relation to the deferred costs for any period presented.</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22" w:lineRule="exact"/>
        <w:rPr>
          <w:sz w:val="20"/>
          <w:szCs w:val="20"/>
          <w:color w:val="auto"/>
        </w:rPr>
      </w:pPr>
    </w:p>
    <w:p>
      <w:pPr>
        <w:jc w:val="both"/>
        <w:ind w:right="260" w:firstLine="392"/>
        <w:spacing w:after="0" w:line="276" w:lineRule="auto"/>
        <w:rPr>
          <w:sz w:val="20"/>
          <w:szCs w:val="20"/>
          <w:color w:val="auto"/>
        </w:rPr>
      </w:pPr>
      <w:r>
        <w:rPr>
          <w:rFonts w:ascii="Times New Roman" w:cs="Times New Roman" w:eastAsia="Times New Roman" w:hAnsi="Times New Roman"/>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The following table presents the estimated useful lives of property and equipment:</w:t>
            </w:r>
          </w:p>
        </w:tc>
        <w:tc>
          <w:tcPr>
            <w:tcW w:w="4900" w:type="dxa"/>
            <w:vAlign w:val="bottom"/>
          </w:tcPr>
          <w:p>
            <w:pPr>
              <w:spacing w:after="0"/>
              <w:rPr>
                <w:sz w:val="19"/>
                <w:szCs w:val="19"/>
                <w:color w:val="auto"/>
              </w:rPr>
            </w:pPr>
          </w:p>
        </w:tc>
      </w:tr>
      <w:tr>
        <w:trPr>
          <w:trHeight w:val="484"/>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4900" w:type="dxa"/>
            <w:vAlign w:val="bottom"/>
          </w:tcPr>
          <w:p>
            <w:pPr>
              <w:jc w:val="center"/>
              <w:ind w:right="633"/>
              <w:spacing w:after="0"/>
              <w:rPr>
                <w:sz w:val="20"/>
                <w:szCs w:val="20"/>
                <w:color w:val="auto"/>
              </w:rPr>
            </w:pPr>
            <w:r>
              <w:rPr>
                <w:rFonts w:ascii="Times New Roman" w:cs="Times New Roman" w:eastAsia="Times New Roman" w:hAnsi="Times New Roman"/>
                <w:sz w:val="17"/>
                <w:szCs w:val="17"/>
                <w:b w:val="1"/>
                <w:bCs w:val="1"/>
                <w:color w:val="auto"/>
              </w:rPr>
              <w:t>Useful life</w:t>
            </w:r>
          </w:p>
        </w:tc>
      </w:tr>
      <w:tr>
        <w:trPr>
          <w:trHeight w:val="215"/>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Datacenter and other computer equipment</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jc w:val="center"/>
              <w:ind w:right="633"/>
              <w:spacing w:after="0"/>
              <w:rPr>
                <w:sz w:val="20"/>
                <w:szCs w:val="20"/>
                <w:color w:val="auto"/>
              </w:rPr>
            </w:pPr>
            <w:r>
              <w:rPr>
                <w:rFonts w:ascii="Times New Roman" w:cs="Times New Roman" w:eastAsia="Times New Roman" w:hAnsi="Times New Roman"/>
                <w:sz w:val="17"/>
                <w:szCs w:val="17"/>
                <w:color w:val="auto"/>
              </w:rPr>
              <w:t>3 to 5 years</w:t>
            </w:r>
          </w:p>
        </w:tc>
      </w:tr>
      <w:tr>
        <w:trPr>
          <w:trHeight w:val="222"/>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Office equipment and other</w:t>
            </w:r>
          </w:p>
        </w:tc>
        <w:tc>
          <w:tcPr>
            <w:tcW w:w="4900" w:type="dxa"/>
            <w:vAlign w:val="bottom"/>
          </w:tcPr>
          <w:p>
            <w:pPr>
              <w:jc w:val="center"/>
              <w:ind w:right="633"/>
              <w:spacing w:after="0"/>
              <w:rPr>
                <w:sz w:val="20"/>
                <w:szCs w:val="20"/>
                <w:color w:val="auto"/>
              </w:rPr>
            </w:pPr>
            <w:r>
              <w:rPr>
                <w:rFonts w:ascii="Times New Roman" w:cs="Times New Roman" w:eastAsia="Times New Roman" w:hAnsi="Times New Roman"/>
                <w:sz w:val="17"/>
                <w:szCs w:val="17"/>
                <w:color w:val="auto"/>
              </w:rPr>
              <w:t>3 to 7 years</w:t>
            </w:r>
          </w:p>
        </w:tc>
      </w:tr>
      <w:tr>
        <w:trPr>
          <w:trHeight w:val="222"/>
        </w:trPr>
        <w:tc>
          <w:tcPr>
            <w:tcW w:w="6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4900" w:type="dxa"/>
            <w:vAlign w:val="bottom"/>
            <w:shd w:val="clear" w:color="auto" w:fill="CCEEFF"/>
          </w:tcPr>
          <w:p>
            <w:pPr>
              <w:jc w:val="center"/>
              <w:ind w:right="633"/>
              <w:spacing w:after="0"/>
              <w:rPr>
                <w:sz w:val="20"/>
                <w:szCs w:val="20"/>
                <w:color w:val="auto"/>
              </w:rPr>
            </w:pPr>
            <w:r>
              <w:rPr>
                <w:rFonts w:ascii="Times New Roman" w:cs="Times New Roman" w:eastAsia="Times New Roman" w:hAnsi="Times New Roman"/>
                <w:sz w:val="17"/>
                <w:szCs w:val="17"/>
                <w:color w:val="auto"/>
              </w:rPr>
              <w:t>Lesser of estimated useful life or remaining lease term</w:t>
            </w:r>
          </w:p>
        </w:tc>
      </w:tr>
    </w:tbl>
    <w:p>
      <w:pPr>
        <w:spacing w:after="0" w:line="3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Lease obligations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leases office space, datacenters, and equipment under non-cancelable finance and operating leases with various expiration dates through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2036. The Company determines if an arrangement contains a lease at inception.</w:t>
      </w:r>
    </w:p>
    <w:p>
      <w:pPr>
        <w:spacing w:after="0" w:line="231"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95"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173" w:lineRule="exact"/>
        <w:rPr>
          <w:sz w:val="20"/>
          <w:szCs w:val="20"/>
          <w:color w:val="auto"/>
        </w:rPr>
      </w:pPr>
    </w:p>
    <w:p>
      <w:pPr>
        <w:ind w:right="100" w:firstLine="392"/>
        <w:spacing w:after="0" w:line="266" w:lineRule="auto"/>
        <w:rPr>
          <w:sz w:val="20"/>
          <w:szCs w:val="20"/>
          <w:color w:val="auto"/>
        </w:rPr>
      </w:pPr>
      <w:r>
        <w:rPr>
          <w:rFonts w:ascii="Times New Roman" w:cs="Times New Roman" w:eastAsia="Times New Roman" w:hAnsi="Times New Roman"/>
          <w:sz w:val="17"/>
          <w:szCs w:val="17"/>
          <w:color w:val="auto"/>
        </w:rPr>
        <w:t>As part of the Company's Virtual First strategy, Dropbox has retained a portion of its office space for in-person collaboration while the remainder will be subleased. The Company did not recognize any impairment charges during the three and nine months ended September 30, 2024, respectively. The company recognized impairment charges of zero and $2.2 million during the three and nine months ended September 30, 2023, respectively, related to right-of-use assets and other lease related property and equipment assets. See Note 9 "Leases" to our condensed consolidated financial statements included elsewhere in the Quarterly Report on Form 10-Q for further information.</w:t>
      </w:r>
    </w:p>
    <w:p>
      <w:pPr>
        <w:spacing w:after="0" w:line="197"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Initial asset values and finance lease obligations are based on the present value of future minimum lease payments.</w:t>
      </w:r>
    </w:p>
    <w:p>
      <w:pPr>
        <w:spacing w:after="0" w:line="195" w:lineRule="exact"/>
        <w:rPr>
          <w:sz w:val="20"/>
          <w:szCs w:val="20"/>
          <w:color w:val="auto"/>
        </w:rPr>
      </w:pPr>
    </w:p>
    <w:p>
      <w:pPr>
        <w:ind w:right="200" w:firstLine="392"/>
        <w:spacing w:after="0" w:line="276" w:lineRule="auto"/>
        <w:rPr>
          <w:sz w:val="20"/>
          <w:szCs w:val="20"/>
          <w:color w:val="auto"/>
        </w:rPr>
      </w:pPr>
      <w:r>
        <w:rPr>
          <w:rFonts w:ascii="Times New Roman" w:cs="Times New Roman" w:eastAsia="Times New Roman" w:hAnsi="Times New Roman"/>
          <w:sz w:val="17"/>
          <w:szCs w:val="17"/>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22"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 including goodwill and other acquired intangible assets, net</w:t>
      </w:r>
    </w:p>
    <w:p>
      <w:pPr>
        <w:spacing w:after="0" w:line="122" w:lineRule="exact"/>
        <w:rPr>
          <w:sz w:val="20"/>
          <w:szCs w:val="20"/>
          <w:color w:val="auto"/>
        </w:rPr>
      </w:pPr>
    </w:p>
    <w:p>
      <w:pPr>
        <w:jc w:val="both"/>
        <w:ind w:right="200" w:firstLine="392"/>
        <w:spacing w:after="0" w:line="266" w:lineRule="auto"/>
        <w:rPr>
          <w:sz w:val="20"/>
          <w:szCs w:val="20"/>
          <w:color w:val="auto"/>
        </w:rPr>
      </w:pPr>
      <w:r>
        <w:rPr>
          <w:rFonts w:ascii="Times New Roman" w:cs="Times New Roman" w:eastAsia="Times New Roman" w:hAnsi="Times New Roman"/>
          <w:sz w:val="17"/>
          <w:szCs w:val="17"/>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97" w:lineRule="exact"/>
        <w:rPr>
          <w:sz w:val="20"/>
          <w:szCs w:val="20"/>
          <w:color w:val="auto"/>
        </w:rPr>
      </w:pPr>
    </w:p>
    <w:p>
      <w:pPr>
        <w:ind w:right="360" w:firstLine="392"/>
        <w:spacing w:after="0" w:line="295" w:lineRule="auto"/>
        <w:rPr>
          <w:sz w:val="20"/>
          <w:szCs w:val="20"/>
          <w:color w:val="auto"/>
        </w:rPr>
      </w:pPr>
      <w:r>
        <w:rPr>
          <w:rFonts w:ascii="Times New Roman" w:cs="Times New Roman" w:eastAsia="Times New Roman" w:hAnsi="Times New Roman"/>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73" w:lineRule="exact"/>
        <w:rPr>
          <w:sz w:val="20"/>
          <w:szCs w:val="20"/>
          <w:color w:val="auto"/>
        </w:rPr>
      </w:pPr>
    </w:p>
    <w:p>
      <w:pPr>
        <w:ind w:right="260" w:firstLine="392"/>
        <w:spacing w:after="0" w:line="295" w:lineRule="auto"/>
        <w:rPr>
          <w:sz w:val="20"/>
          <w:szCs w:val="20"/>
          <w:color w:val="auto"/>
        </w:rPr>
      </w:pPr>
      <w:r>
        <w:rPr>
          <w:rFonts w:ascii="Times New Roman" w:cs="Times New Roman" w:eastAsia="Times New Roman" w:hAnsi="Times New Roman"/>
          <w:sz w:val="17"/>
          <w:szCs w:val="17"/>
          <w:color w:val="auto"/>
        </w:rPr>
        <w:t>The Company has not recorded impairment charges on goodwill or intangible assets for the periods presented in these condensed consolidated financial statements.</w:t>
      </w:r>
    </w:p>
    <w:p>
      <w:pPr>
        <w:spacing w:after="0" w:line="173" w:lineRule="exact"/>
        <w:rPr>
          <w:sz w:val="20"/>
          <w:szCs w:val="20"/>
          <w:color w:val="auto"/>
        </w:rPr>
      </w:pPr>
    </w:p>
    <w:p>
      <w:pPr>
        <w:ind w:right="100" w:firstLine="392"/>
        <w:spacing w:after="0" w:line="264" w:lineRule="auto"/>
        <w:rPr>
          <w:sz w:val="20"/>
          <w:szCs w:val="20"/>
          <w:color w:val="auto"/>
        </w:rPr>
      </w:pPr>
      <w:r>
        <w:rPr>
          <w:rFonts w:ascii="Times New Roman" w:cs="Times New Roman" w:eastAsia="Times New Roman" w:hAnsi="Times New Roman"/>
          <w:sz w:val="17"/>
          <w:szCs w:val="17"/>
          <w:color w:val="auto"/>
        </w:rPr>
        <w:t>The Company did not recognize any impairment charges during the three and nine months ended September 30, 2024, respectively. The Company recognized impairment charges of zero and $2.2 million during the three and nine months ended September 30, 2023, respectively, related to right-of-use assets and other lease related property and equipment assets.</w:t>
      </w:r>
    </w:p>
    <w:p>
      <w:pPr>
        <w:jc w:val="both"/>
        <w:ind w:right="120" w:firstLine="392"/>
        <w:spacing w:after="0" w:line="262" w:lineRule="auto"/>
        <w:rPr>
          <w:sz w:val="20"/>
          <w:szCs w:val="20"/>
          <w:color w:val="auto"/>
        </w:rPr>
      </w:pPr>
      <w:r>
        <w:rPr>
          <w:rFonts w:ascii="Times New Roman" w:cs="Times New Roman" w:eastAsia="Times New Roman" w:hAnsi="Times New Roman"/>
          <w:sz w:val="17"/>
          <w:szCs w:val="17"/>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depreciation or amortization. If the Company revises the estimated useful life assumption for any asset, the remaining unamortized balance is amortized or depreciated over the revised estimated useful life on a prospective basis. In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7"/>
          <w:szCs w:val="17"/>
          <w:color w:val="auto"/>
        </w:rPr>
        <w:t>first quarter of 2024, the Company changed the estimate of the useful lives of certain infrastructure server and component assets from four to five years. See "Use of estimates" within Note 1 above for further information.</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2"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88"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88"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95" w:lineRule="exact"/>
        <w:rPr>
          <w:sz w:val="20"/>
          <w:szCs w:val="20"/>
          <w:color w:val="auto"/>
        </w:rPr>
      </w:pPr>
    </w:p>
    <w:p>
      <w:pPr>
        <w:ind w:right="340" w:firstLine="392"/>
        <w:spacing w:after="0" w:line="269" w:lineRule="auto"/>
        <w:rPr>
          <w:sz w:val="20"/>
          <w:szCs w:val="20"/>
          <w:color w:val="auto"/>
        </w:rPr>
      </w:pPr>
      <w:r>
        <w:rPr>
          <w:rFonts w:ascii="Times New Roman" w:cs="Times New Roman" w:eastAsia="Times New Roman" w:hAnsi="Times New Roman"/>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195"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73" w:lineRule="exact"/>
        <w:rPr>
          <w:sz w:val="20"/>
          <w:szCs w:val="20"/>
          <w:color w:val="auto"/>
        </w:rPr>
      </w:pPr>
    </w:p>
    <w:p>
      <w:pPr>
        <w:ind w:right="20" w:firstLine="392"/>
        <w:spacing w:after="0" w:line="295" w:lineRule="auto"/>
        <w:rPr>
          <w:sz w:val="20"/>
          <w:szCs w:val="20"/>
          <w:color w:val="auto"/>
        </w:rPr>
      </w:pPr>
      <w:r>
        <w:rPr>
          <w:rFonts w:ascii="Times New Roman" w:cs="Times New Roman" w:eastAsia="Times New Roman" w:hAnsi="Times New Roman"/>
          <w:sz w:val="17"/>
          <w:szCs w:val="17"/>
          <w:color w:val="auto"/>
        </w:rPr>
        <w:t>The Tax Cuts and Jobs Act of 2017 ("TCJA") subjects a U.S. shareholder to current tax on global intangible low-taxed income ("GILTI") earned by foreign subsidiaries. The Company accounts for GILTI as a period cost as incurred.</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122"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—Quoted prices in active markets for identical assets or liabilities.</w:t>
      </w:r>
    </w:p>
    <w:p>
      <w:pPr>
        <w:spacing w:after="0" w:line="118" w:lineRule="exact"/>
        <w:rPr>
          <w:sz w:val="20"/>
          <w:szCs w:val="20"/>
          <w:color w:val="auto"/>
        </w:rPr>
      </w:pPr>
    </w:p>
    <w:p>
      <w:pPr>
        <w:jc w:val="both"/>
        <w:ind w:left="480" w:right="280"/>
        <w:spacing w:after="0" w:line="277"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—Observable inputs other than quoted prices in active markets for identical assets and liabilities, quoted prices for identical or similar assets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in inactive markets, or other inputs that are observable or can be corroborated by observable market data for substantially the full term of the assets or liabilities.</w:t>
      </w:r>
    </w:p>
    <w:p>
      <w:pPr>
        <w:spacing w:after="0" w:line="55" w:lineRule="exact"/>
        <w:rPr>
          <w:sz w:val="20"/>
          <w:szCs w:val="20"/>
          <w:color w:val="auto"/>
        </w:rPr>
      </w:pPr>
    </w:p>
    <w:p>
      <w:pPr>
        <w:ind w:left="480" w:right="60"/>
        <w:spacing w:after="0" w:line="298"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—Inputs that are generally unobservable and typically reflect management’s estimate of assumptions that market participants would use in pricing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172" w:lineRule="exact"/>
        <w:rPr>
          <w:sz w:val="20"/>
          <w:szCs w:val="20"/>
          <w:color w:val="auto"/>
        </w:rPr>
      </w:pPr>
    </w:p>
    <w:p>
      <w:pPr>
        <w:ind w:firstLine="392"/>
        <w:spacing w:after="0" w:line="270"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which requires disclosure of incremental segment information on an annual and interim basis. The amendments are effective for fiscal years beginning after December 15, 2023 and interim periods within fiscal years beginning after December 15, 2024. This change requires application on a fully retrospective basis. Early adoption is permitted. The Company is currently evaluating the impact of this standard on the Company's consolidated financial statement disclosures.</w:t>
      </w:r>
    </w:p>
    <w:p>
      <w:pPr>
        <w:spacing w:after="0" w:line="192" w:lineRule="exact"/>
        <w:rPr>
          <w:sz w:val="20"/>
          <w:szCs w:val="20"/>
          <w:color w:val="auto"/>
        </w:rPr>
      </w:pPr>
    </w:p>
    <w:p>
      <w:pPr>
        <w:ind w:right="40" w:firstLine="392"/>
        <w:spacing w:after="0" w:line="270"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to enhance income tax disclosures primarily through changes in rate reconciliation and income taxes paid disclosures. The amendments in ASU 2023-09 are effective for annual periods beginning after December 15, 2024 on a prospective basis. Early adoption is permitted. The Company is currently evaluating the impact of this standard on the Company's consolidated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Cash, Cash Equivalents and Short-Term Investments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amortized cost, unrealized gains and losses and estimated fair value of the Company's cash, cash equivalents and short-term investments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 and December 31, 2023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7"/>
                <w:szCs w:val="17"/>
                <w:b w:val="1"/>
                <w:bCs w:val="1"/>
                <w:color w:val="auto"/>
              </w:rPr>
              <w:t>As of September 30, 2024</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r>
      <w:tr>
        <w:trPr>
          <w:trHeight w:val="215"/>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Loss</w:t>
            </w:r>
          </w:p>
        </w:tc>
        <w:tc>
          <w:tcPr>
            <w:tcW w:w="120" w:type="dxa"/>
            <w:vAlign w:val="bottom"/>
          </w:tcPr>
          <w:p>
            <w:pPr>
              <w:spacing w:after="0"/>
              <w:rPr>
                <w:sz w:val="18"/>
                <w:szCs w:val="18"/>
                <w:color w:val="auto"/>
              </w:rPr>
            </w:pP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r>
      <w:tr>
        <w:trPr>
          <w:trHeight w:val="21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w:t>
            </w: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418.8</w:t>
            </w:r>
          </w:p>
        </w:tc>
      </w:tr>
      <w:tr>
        <w:trPr>
          <w:trHeight w:val="215"/>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&amp; cash equivalents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517.6</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8"/>
        </w:trPr>
        <w:tc>
          <w:tcPr>
            <w:tcW w:w="3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182.5</w:t>
            </w: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w:t>
            </w: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22"/>
        </w:trPr>
        <w:tc>
          <w:tcPr>
            <w:tcW w:w="3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 agency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2"/>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Supranational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5"/>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380.8</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373.2</w:t>
            </w:r>
          </w:p>
        </w:tc>
      </w:tr>
      <w:tr>
        <w:trPr>
          <w:trHeight w:val="24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7"/>
                <w:szCs w:val="17"/>
                <w:b w:val="1"/>
                <w:bCs w:val="1"/>
                <w:color w:val="auto"/>
              </w:rPr>
              <w:t>As of December 31, 2023</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Loss</w:t>
            </w:r>
          </w:p>
        </w:tc>
        <w:tc>
          <w:tcPr>
            <w:tcW w:w="120" w:type="dxa"/>
            <w:vAlign w:val="bottom"/>
          </w:tcPr>
          <w:p>
            <w:pPr>
              <w:spacing w:after="0"/>
              <w:rPr>
                <w:sz w:val="18"/>
                <w:szCs w:val="18"/>
                <w:color w:val="auto"/>
              </w:rPr>
            </w:pP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0" w:type="dxa"/>
            <w:vAlign w:val="bottom"/>
          </w:tcPr>
          <w:p>
            <w:pPr>
              <w:spacing w:after="0"/>
              <w:rPr>
                <w:sz w:val="1"/>
                <w:szCs w:val="1"/>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40"/>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&amp; cash equivalents</w:t>
            </w: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0" w:type="dxa"/>
            <w:vAlign w:val="bottom"/>
          </w:tcPr>
          <w:p>
            <w:pPr>
              <w:spacing w:after="0"/>
              <w:rPr>
                <w:sz w:val="1"/>
                <w:szCs w:val="1"/>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225.3</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0" w:type="dxa"/>
            <w:vAlign w:val="bottom"/>
          </w:tcPr>
          <w:p>
            <w:pPr>
              <w:spacing w:after="0"/>
              <w:rPr>
                <w:sz w:val="1"/>
                <w:szCs w:val="1"/>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0" w:type="dxa"/>
            <w:vAlign w:val="bottom"/>
          </w:tcPr>
          <w:p>
            <w:pPr>
              <w:spacing w:after="0"/>
              <w:rPr>
                <w:sz w:val="1"/>
                <w:szCs w:val="1"/>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Certificates of deposit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agency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government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Supranational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5"/>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761.8</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741.1</w:t>
            </w:r>
          </w:p>
        </w:tc>
        <w:tc>
          <w:tcPr>
            <w:tcW w:w="0" w:type="dxa"/>
            <w:vAlign w:val="bottom"/>
          </w:tcPr>
          <w:p>
            <w:pPr>
              <w:spacing w:after="0"/>
              <w:rPr>
                <w:sz w:val="1"/>
                <w:szCs w:val="1"/>
                <w:color w:val="auto"/>
              </w:rPr>
            </w:pPr>
          </w:p>
        </w:tc>
      </w:tr>
      <w:tr>
        <w:trPr>
          <w:trHeight w:val="24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ind w:right="20" w:firstLine="392"/>
        <w:spacing w:after="0" w:line="295" w:lineRule="auto"/>
        <w:rPr>
          <w:sz w:val="20"/>
          <w:szCs w:val="20"/>
          <w:color w:val="auto"/>
        </w:rPr>
      </w:pPr>
      <w:r>
        <w:rPr>
          <w:rFonts w:ascii="Times New Roman" w:cs="Times New Roman" w:eastAsia="Times New Roman" w:hAnsi="Times New Roman"/>
          <w:sz w:val="17"/>
          <w:szCs w:val="17"/>
          <w:color w:val="auto"/>
        </w:rPr>
        <w:t>Included in cash and cash equivalents is cash in transit from payment processors for credit and debit card transactions of $17.8 million and $17.0 million as of September 30, 2024 and December 31, 2023, respectively.</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All short-term investments were designated as available-for-sale securities as of September 30, 2024 and December 31, 2023.</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presents the contractual maturities of the Company’s short-term investments as of September 30,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4540" w:type="dxa"/>
            <w:vAlign w:val="bottom"/>
            <w:tcBorders>
              <w:bottom w:val="single" w:sz="8" w:color="auto"/>
            </w:tcBorders>
            <w:gridSpan w:val="5"/>
          </w:tcPr>
          <w:p>
            <w:pPr>
              <w:jc w:val="right"/>
              <w:ind w:right="1233"/>
              <w:spacing w:after="0"/>
              <w:rPr>
                <w:sz w:val="20"/>
                <w:szCs w:val="20"/>
                <w:color w:val="auto"/>
              </w:rPr>
            </w:pPr>
            <w:r>
              <w:rPr>
                <w:rFonts w:ascii="Times New Roman" w:cs="Times New Roman" w:eastAsia="Times New Roman" w:hAnsi="Times New Roman"/>
                <w:sz w:val="17"/>
                <w:szCs w:val="17"/>
                <w:b w:val="1"/>
                <w:bCs w:val="1"/>
                <w:color w:val="auto"/>
              </w:rPr>
              <w:t>As of September 30, 2024</w:t>
            </w:r>
          </w:p>
        </w:tc>
      </w:tr>
      <w:tr>
        <w:trPr>
          <w:trHeight w:val="215"/>
        </w:trPr>
        <w:tc>
          <w:tcPr>
            <w:tcW w:w="67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r>
      <w:tr>
        <w:trPr>
          <w:trHeight w:val="21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within one year</w:t>
            </w:r>
          </w:p>
        </w:tc>
        <w:tc>
          <w:tcPr>
            <w:tcW w:w="1720" w:type="dxa"/>
            <w:vAlign w:val="bottom"/>
            <w:shd w:val="clear" w:color="auto" w:fill="CCEEFF"/>
          </w:tcPr>
          <w:p>
            <w:pPr>
              <w:jc w:val="right"/>
              <w:ind w:right="15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r>
      <w:tr>
        <w:trPr>
          <w:trHeight w:val="222"/>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between one to three years</w:t>
            </w:r>
          </w:p>
        </w:tc>
        <w:tc>
          <w:tcPr>
            <w:tcW w:w="1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250.7</w:t>
            </w:r>
          </w:p>
        </w:tc>
      </w:tr>
      <w:tr>
        <w:trPr>
          <w:trHeight w:val="22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three years</w:t>
            </w:r>
          </w:p>
        </w:tc>
        <w:tc>
          <w:tcPr>
            <w:tcW w:w="17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720" w:type="dxa"/>
            <w:vAlign w:val="bottom"/>
            <w:tcBorders>
              <w:bottom w:val="single" w:sz="8" w:color="auto"/>
            </w:tcBorders>
          </w:tcPr>
          <w:p>
            <w:pPr>
              <w:jc w:val="right"/>
              <w:ind w:right="15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373.2</w:t>
            </w:r>
          </w:p>
        </w:tc>
      </w:tr>
      <w:tr>
        <w:trPr>
          <w:trHeight w:val="20"/>
        </w:trPr>
        <w:tc>
          <w:tcPr>
            <w:tcW w:w="67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right="200" w:firstLine="392"/>
        <w:spacing w:after="0" w:line="276" w:lineRule="auto"/>
        <w:rPr>
          <w:sz w:val="20"/>
          <w:szCs w:val="20"/>
          <w:color w:val="auto"/>
        </w:rPr>
      </w:pPr>
      <w:r>
        <w:rPr>
          <w:rFonts w:ascii="Times New Roman" w:cs="Times New Roman" w:eastAsia="Times New Roman" w:hAnsi="Times New Roman"/>
          <w:sz w:val="17"/>
          <w:szCs w:val="17"/>
          <w:color w:val="auto"/>
        </w:rPr>
        <w:t>The Company had 219 short-term investments in unrealized loss positions as of September 30, 2024. There were no material gains or losses from short-term investments that were reclassified out of accumulated other comprehensive loss for the three and nine months ended September 30, 2024 or the three and nine months ended September 30, 2023.</w:t>
      </w:r>
    </w:p>
    <w:p>
      <w:pPr>
        <w:spacing w:after="0" w:line="188" w:lineRule="exact"/>
        <w:rPr>
          <w:sz w:val="20"/>
          <w:szCs w:val="20"/>
          <w:color w:val="auto"/>
        </w:rPr>
      </w:pPr>
    </w:p>
    <w:p>
      <w:pPr>
        <w:ind w:right="40" w:firstLine="392"/>
        <w:spacing w:after="0" w:line="295" w:lineRule="auto"/>
        <w:rPr>
          <w:sz w:val="20"/>
          <w:szCs w:val="20"/>
          <w:color w:val="auto"/>
        </w:rPr>
      </w:pPr>
      <w:r>
        <w:rPr>
          <w:rFonts w:ascii="Times New Roman" w:cs="Times New Roman" w:eastAsia="Times New Roman" w:hAnsi="Times New Roman"/>
          <w:sz w:val="17"/>
          <w:szCs w:val="17"/>
          <w:color w:val="auto"/>
        </w:rPr>
        <w:t>As of September 30, 2024, the Company’s short-term investments portfolio consisted of six security types, all of which were in an unrealized loss position. The Company’s short-term investments had unrealized losses of approximately $8.5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7"/>
          <w:szCs w:val="17"/>
          <w:color w:val="auto"/>
        </w:rPr>
        <w:t>as of September 30, 2024. The following tables present the breakdown of the short-term investments that have been in a continuous unrealized loss position aggregated by investment category, as of September 30, 2024 and December 31,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As of September 30, 2024</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7"/>
                <w:szCs w:val="17"/>
                <w:b w:val="1"/>
                <w:bCs w:val="1"/>
                <w:color w:val="auto"/>
              </w:rPr>
              <w:t>Less than 12 months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More than 12 months</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3"/>
              <w:spacing w:after="0" w:line="163"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13"/>
              <w:spacing w:after="0" w:line="163" w:lineRule="exact"/>
              <w:rPr>
                <w:sz w:val="20"/>
                <w:szCs w:val="20"/>
                <w:color w:val="auto"/>
              </w:rPr>
            </w:pPr>
            <w:r>
              <w:rPr>
                <w:rFonts w:ascii="Times New Roman" w:cs="Times New Roman" w:eastAsia="Times New Roman" w:hAnsi="Times New Roman"/>
                <w:sz w:val="17"/>
                <w:szCs w:val="17"/>
                <w:b w:val="1"/>
                <w:bCs w:val="1"/>
                <w:color w:val="auto"/>
              </w:rPr>
              <w:t>Gross</w:t>
            </w: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0" w:type="dxa"/>
            <w:vAlign w:val="bottom"/>
          </w:tcPr>
          <w:p>
            <w:pPr>
              <w:spacing w:after="0"/>
              <w:rPr>
                <w:sz w:val="14"/>
                <w:szCs w:val="14"/>
                <w:color w:val="auto"/>
              </w:rPr>
            </w:pPr>
          </w:p>
        </w:tc>
        <w:tc>
          <w:tcPr>
            <w:tcW w:w="1080" w:type="dxa"/>
            <w:vAlign w:val="bottom"/>
          </w:tcPr>
          <w:p>
            <w:pPr>
              <w:jc w:val="center"/>
              <w:ind w:right="113"/>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42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0" w:type="dxa"/>
            <w:vAlign w:val="bottom"/>
          </w:tcPr>
          <w:p>
            <w:pPr>
              <w:spacing w:after="0"/>
              <w:rPr>
                <w:sz w:val="1"/>
                <w:szCs w:val="1"/>
                <w:color w:val="auto"/>
              </w:rPr>
            </w:pPr>
          </w:p>
        </w:tc>
      </w:tr>
      <w:tr>
        <w:trPr>
          <w:trHeight w:val="21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backed securities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obligations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40"/>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As of December 31, 2023</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7"/>
                <w:szCs w:val="17"/>
                <w:b w:val="1"/>
                <w:bCs w:val="1"/>
                <w:color w:val="auto"/>
              </w:rPr>
              <w:t>Less than 12 months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More than 12 months</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3"/>
              <w:spacing w:after="0" w:line="163"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13"/>
              <w:spacing w:after="0" w:line="163" w:lineRule="exact"/>
              <w:rPr>
                <w:sz w:val="20"/>
                <w:szCs w:val="20"/>
                <w:color w:val="auto"/>
              </w:rPr>
            </w:pPr>
            <w:r>
              <w:rPr>
                <w:rFonts w:ascii="Times New Roman" w:cs="Times New Roman" w:eastAsia="Times New Roman" w:hAnsi="Times New Roman"/>
                <w:sz w:val="17"/>
                <w:szCs w:val="17"/>
                <w:b w:val="1"/>
                <w:bCs w:val="1"/>
                <w:color w:val="auto"/>
              </w:rPr>
              <w:t>Gross</w:t>
            </w: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0" w:type="dxa"/>
            <w:vAlign w:val="bottom"/>
          </w:tcPr>
          <w:p>
            <w:pPr>
              <w:spacing w:after="0"/>
              <w:rPr>
                <w:sz w:val="14"/>
                <w:szCs w:val="14"/>
                <w:color w:val="auto"/>
              </w:rPr>
            </w:pPr>
          </w:p>
        </w:tc>
        <w:tc>
          <w:tcPr>
            <w:tcW w:w="1080" w:type="dxa"/>
            <w:vAlign w:val="bottom"/>
          </w:tcPr>
          <w:p>
            <w:pPr>
              <w:jc w:val="center"/>
              <w:ind w:right="113"/>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42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0" w:type="dxa"/>
            <w:vAlign w:val="bottom"/>
          </w:tcPr>
          <w:p>
            <w:pPr>
              <w:spacing w:after="0"/>
              <w:rPr>
                <w:sz w:val="1"/>
                <w:szCs w:val="1"/>
                <w:color w:val="auto"/>
              </w:rPr>
            </w:pPr>
          </w:p>
        </w:tc>
      </w:tr>
      <w:tr>
        <w:trPr>
          <w:trHeight w:val="21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backed securities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obligations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government obligations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534.8</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(21.1)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Unrealized losses on short-term investments have not been recorded into income because management does not intend to sell nor will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spacing w:after="0" w:line="188" w:lineRule="exact"/>
        <w:rPr>
          <w:sz w:val="20"/>
          <w:szCs w:val="20"/>
          <w:color w:val="auto"/>
        </w:rPr>
      </w:pPr>
    </w:p>
    <w:p>
      <w:pPr>
        <w:ind w:right="120" w:firstLine="392"/>
        <w:spacing w:after="0" w:line="288" w:lineRule="auto"/>
        <w:rPr>
          <w:sz w:val="20"/>
          <w:szCs w:val="20"/>
          <w:color w:val="auto"/>
        </w:rPr>
      </w:pPr>
      <w:r>
        <w:rPr>
          <w:rFonts w:ascii="Times New Roman" w:cs="Times New Roman" w:eastAsia="Times New Roman" w:hAnsi="Times New Roman"/>
          <w:sz w:val="17"/>
          <w:szCs w:val="17"/>
          <w:color w:val="auto"/>
        </w:rPr>
        <w:t>The Company recorded interest income from its cash, cash equivalents, and short-term investments of $8.7 million and $30.2 million during the three and nine months ended September 30, 2024, respectively and $8.9 million and $23.6 million during the three and nine months ended September 30, 2023, respectively.</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Fair Value Measurements</w:t>
      </w:r>
    </w:p>
    <w:p>
      <w:pPr>
        <w:spacing w:after="0" w:line="251" w:lineRule="exact"/>
        <w:rPr>
          <w:sz w:val="20"/>
          <w:szCs w:val="20"/>
          <w:color w:val="auto"/>
        </w:rPr>
      </w:pPr>
    </w:p>
    <w:p>
      <w:pPr>
        <w:jc w:val="both"/>
        <w:ind w:right="20" w:firstLine="392"/>
        <w:spacing w:after="0" w:line="276" w:lineRule="auto"/>
        <w:rPr>
          <w:sz w:val="20"/>
          <w:szCs w:val="20"/>
          <w:color w:val="auto"/>
        </w:rPr>
      </w:pPr>
      <w:r>
        <w:rPr>
          <w:rFonts w:ascii="Times New Roman" w:cs="Times New Roman" w:eastAsia="Times New Roman" w:hAnsi="Times New Roman"/>
          <w:sz w:val="17"/>
          <w:szCs w:val="17"/>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88"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financial instruments that are measured at fair value on a recurring basis using the input categories discussed in Note 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As of September 30, 2024</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418.8</w:t>
            </w:r>
          </w:p>
        </w:tc>
        <w:tc>
          <w:tcPr>
            <w:tcW w:w="0" w:type="dxa"/>
            <w:vAlign w:val="bottom"/>
          </w:tcPr>
          <w:p>
            <w:pPr>
              <w:spacing w:after="0"/>
              <w:rPr>
                <w:sz w:val="1"/>
                <w:szCs w:val="1"/>
                <w:color w:val="auto"/>
              </w:rPr>
            </w:pPr>
          </w:p>
        </w:tc>
      </w:tr>
      <w:tr>
        <w:trPr>
          <w:trHeight w:val="240"/>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equivalents</w:t>
            </w:r>
          </w:p>
        </w:tc>
        <w:tc>
          <w:tcPr>
            <w:tcW w:w="1320" w:type="dxa"/>
            <w:vAlign w:val="bottom"/>
            <w:tcBorders>
              <w:top w:val="single" w:sz="8" w:color="auto"/>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agency obligations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373.2</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373.2</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As of December 31, 2023</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5"/>
        </w:trPr>
        <w:tc>
          <w:tcPr>
            <w:tcW w:w="33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32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100" w:type="dxa"/>
            <w:vAlign w:val="bottom"/>
          </w:tcPr>
          <w:p>
            <w:pPr>
              <w:spacing w:after="0"/>
              <w:rPr>
                <w:sz w:val="19"/>
                <w:szCs w:val="19"/>
                <w:color w:val="auto"/>
              </w:rPr>
            </w:pPr>
          </w:p>
        </w:tc>
        <w:tc>
          <w:tcPr>
            <w:tcW w:w="1320" w:type="dxa"/>
            <w:vAlign w:val="bottom"/>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514.8</w:t>
            </w: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Certificates of deposit</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equivalents</w:t>
            </w:r>
          </w:p>
        </w:tc>
        <w:tc>
          <w:tcPr>
            <w:tcW w:w="1320" w:type="dxa"/>
            <w:vAlign w:val="bottom"/>
            <w:tcBorders>
              <w:top w:val="single" w:sz="8" w:color="auto"/>
              <w:bottom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533.6</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8"/>
        </w:trPr>
        <w:tc>
          <w:tcPr>
            <w:tcW w:w="3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Short-term investments</w:t>
            </w:r>
          </w:p>
        </w:tc>
        <w:tc>
          <w:tcPr>
            <w:tcW w:w="1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349.7</w:t>
            </w: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225.3</w:t>
            </w: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Certificates of deposit</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agency obligations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government obligations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22"/>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741.1</w:t>
            </w:r>
          </w:p>
        </w:tc>
      </w:t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top w:val="single" w:sz="8" w:color="auto"/>
              <w:bottom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759.9</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1,274.7</w:t>
            </w:r>
          </w:p>
        </w:tc>
      </w:tr>
      <w:tr>
        <w:trPr>
          <w:trHeight w:val="20"/>
        </w:trPr>
        <w:tc>
          <w:tcPr>
            <w:tcW w:w="3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had no transfers between levels of the fair value hierarchy during the periods presented.</w:t>
      </w:r>
    </w:p>
    <w:p>
      <w:pPr>
        <w:spacing w:after="0" w:line="249"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73" w:lineRule="exact"/>
        <w:rPr>
          <w:sz w:val="20"/>
          <w:szCs w:val="20"/>
          <w:color w:val="auto"/>
        </w:rPr>
      </w:pPr>
    </w:p>
    <w:p>
      <w:pPr>
        <w:jc w:val="both"/>
        <w:ind w:right="380" w:firstLine="392"/>
        <w:spacing w:after="0" w:line="276" w:lineRule="auto"/>
        <w:rPr>
          <w:sz w:val="20"/>
          <w:szCs w:val="20"/>
          <w:color w:val="auto"/>
        </w:rPr>
      </w:pPr>
      <w:r>
        <w:rPr>
          <w:rFonts w:ascii="Times New Roman" w:cs="Times New Roman" w:eastAsia="Times New Roman" w:hAnsi="Times New Roman"/>
          <w:sz w:val="17"/>
          <w:szCs w:val="17"/>
          <w:color w:val="auto"/>
        </w:rPr>
        <w:t>The Company had $695.8 million in aggregate principal amount of 0% convertible senior notes due in 2026 (the "2026 Notes"), and $693.3 million in aggregate principal amount of 0% convertible senior notes due in 2028 (the "2028 Notes" and together with the 2026 Notes, the "Notes"), outstanding as of September 30, 2024. Refer to Note 8 "Debt" for further details on the 2026 Notes and 2028 Notes.</w:t>
      </w:r>
    </w:p>
    <w:p>
      <w:pPr>
        <w:spacing w:after="0" w:line="188" w:lineRule="exact"/>
        <w:rPr>
          <w:sz w:val="20"/>
          <w:szCs w:val="20"/>
          <w:color w:val="auto"/>
        </w:rPr>
      </w:pPr>
    </w:p>
    <w:p>
      <w:pPr>
        <w:jc w:val="both"/>
        <w:ind w:right="140" w:firstLine="392"/>
        <w:spacing w:after="0" w:line="276" w:lineRule="auto"/>
        <w:rPr>
          <w:sz w:val="20"/>
          <w:szCs w:val="20"/>
          <w:color w:val="auto"/>
        </w:rPr>
      </w:pPr>
      <w:r>
        <w:rPr>
          <w:rFonts w:ascii="Times New Roman" w:cs="Times New Roman" w:eastAsia="Times New Roman" w:hAnsi="Times New Roman"/>
          <w:sz w:val="17"/>
          <w:szCs w:val="17"/>
          <w:color w:val="auto"/>
        </w:rPr>
        <w:t>The estimated fair value of the 2026 Notes and the 2028 Notes, based on a market approach as of September 30, 2024 was approximately $671.4 million and $666.2 million, respectively. The Notes were categorized as Level 2 instruments as the estimated fair value was determined based on the trading activity of the Notes in an over-the-counter market on the last business day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4. Property and Equipment, Net</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44"/>
        </w:trPr>
        <w:tc>
          <w:tcPr>
            <w:tcW w:w="40" w:type="dxa"/>
            <w:vAlign w:val="bottom"/>
          </w:tcPr>
          <w:p>
            <w:pPr>
              <w:spacing w:after="0"/>
              <w:rPr>
                <w:sz w:val="24"/>
                <w:szCs w:val="24"/>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84"/>
        </w:trPr>
        <w:tc>
          <w:tcPr>
            <w:tcW w:w="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260" w:type="dxa"/>
            <w:vAlign w:val="bottom"/>
          </w:tcPr>
          <w:p>
            <w:pPr>
              <w:spacing w:after="0"/>
              <w:rPr>
                <w:sz w:val="18"/>
                <w:szCs w:val="18"/>
                <w:color w:val="auto"/>
              </w:rPr>
            </w:pPr>
          </w:p>
        </w:tc>
        <w:tc>
          <w:tcPr>
            <w:tcW w:w="192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5"/>
        </w:trPr>
        <w:tc>
          <w:tcPr>
            <w:tcW w:w="4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Datacenter and other computer equipment</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783.2</w:t>
            </w:r>
          </w:p>
        </w:tc>
      </w:tr>
      <w:tr>
        <w:trPr>
          <w:trHeight w:val="222"/>
        </w:trPr>
        <w:tc>
          <w:tcPr>
            <w:tcW w:w="4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22"/>
        </w:trPr>
        <w:tc>
          <w:tcPr>
            <w:tcW w:w="4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w:t>
            </w:r>
          </w:p>
        </w:tc>
      </w:tr>
      <w:tr>
        <w:trPr>
          <w:trHeight w:val="222"/>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5"/>
        </w:trPr>
        <w:tc>
          <w:tcPr>
            <w:tcW w:w="4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895.5</w:t>
            </w:r>
          </w:p>
        </w:tc>
      </w:tr>
      <w:tr>
        <w:trPr>
          <w:trHeight w:val="222"/>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(586.3)</w:t>
            </w:r>
          </w:p>
        </w:tc>
      </w:tr>
      <w:tr>
        <w:trPr>
          <w:trHeight w:val="240"/>
        </w:trPr>
        <w:tc>
          <w:tcPr>
            <w:tcW w:w="4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309.2</w:t>
            </w:r>
          </w:p>
        </w:tc>
      </w:tr>
      <w:tr>
        <w:trPr>
          <w:trHeight w:val="20"/>
        </w:trPr>
        <w:tc>
          <w:tcPr>
            <w:tcW w:w="40" w:type="dxa"/>
            <w:vAlign w:val="bottom"/>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100" w:firstLine="392"/>
        <w:spacing w:after="0" w:line="266" w:lineRule="auto"/>
        <w:rPr>
          <w:sz w:val="20"/>
          <w:szCs w:val="20"/>
          <w:color w:val="auto"/>
        </w:rPr>
      </w:pPr>
      <w:r>
        <w:rPr>
          <w:rFonts w:ascii="Times New Roman" w:cs="Times New Roman" w:eastAsia="Times New Roman" w:hAnsi="Times New Roman"/>
          <w:sz w:val="17"/>
          <w:szCs w:val="17"/>
          <w:color w:val="auto"/>
        </w:rPr>
        <w:t>The Company leases certain infrastructure, computer equipment, and furniture from various third parties, through equipment finance leases. Infrastructure assets as of September 30, 2024 and December 31, 2023 included a total of $515.2 million and $457.4 million, respectively,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$252.1 million and $234.7 million as of September 30, 2024 and December 31, 2023, respectively.</w:t>
      </w:r>
    </w:p>
    <w:p>
      <w:pPr>
        <w:spacing w:after="0" w:line="197"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Depreciation expense related to property and equipment was $27.9 million and $78.5 million for the three and nine months ended September 30, 2024, respectively, and $34.2 million and $104.3 million for the three and nine months ended September 30, 2023, respectively.</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Business Combinations</w:t>
      </w:r>
    </w:p>
    <w:p>
      <w:pPr>
        <w:spacing w:after="0" w:line="225" w:lineRule="exact"/>
        <w:rPr>
          <w:sz w:val="20"/>
          <w:szCs w:val="20"/>
          <w:color w:val="auto"/>
        </w:rPr>
      </w:pPr>
    </w:p>
    <w:p>
      <w:pPr>
        <w:ind w:right="20" w:firstLine="431"/>
        <w:spacing w:after="0" w:line="269" w:lineRule="auto"/>
        <w:rPr>
          <w:sz w:val="20"/>
          <w:szCs w:val="20"/>
          <w:color w:val="auto"/>
        </w:rPr>
      </w:pPr>
      <w:r>
        <w:rPr>
          <w:rFonts w:ascii="Times New Roman" w:cs="Times New Roman" w:eastAsia="Times New Roman" w:hAnsi="Times New Roman"/>
          <w:sz w:val="17"/>
          <w:szCs w:val="17"/>
          <w:color w:val="auto"/>
        </w:rPr>
        <w:t>On July 26, 2024, the Company completed the acquisition of Reclaim.ai Inc. (“Reclaim”) and entered into employment arrangements with its employees. Reclaim is an AI-powered calendar application that helps users optimize their schedules for better productivity, collaboration, and work-life balance. The Company paid $40.2 million in cash. The Company recorded $30.6 million of goodwill and $13.4 million of intangible assets resulting from the transaction. The goodwill is not expected to be deductible for income tax purposes.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6. Intangible Assets</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Intangible assets consisted of the following:</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average</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useful life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As of September 30,</w:t>
            </w:r>
          </w:p>
        </w:tc>
        <w:tc>
          <w:tcPr>
            <w:tcW w:w="180" w:type="dxa"/>
            <w:vAlign w:val="bottom"/>
          </w:tcPr>
          <w:p>
            <w:pPr>
              <w:spacing w:after="0"/>
              <w:rPr>
                <w:sz w:val="15"/>
                <w:szCs w:val="15"/>
                <w:color w:val="auto"/>
              </w:rPr>
            </w:pPr>
          </w:p>
        </w:tc>
        <w:tc>
          <w:tcPr>
            <w:tcW w:w="1780" w:type="dxa"/>
            <w:vAlign w:val="bottom"/>
            <w:vMerge w:val="restart"/>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0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(In years)</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As of September 30,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Developed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Software</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 and trade names</w:t>
            </w: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Licenses</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Assembled workforce in asset acquisitions</w:t>
            </w: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14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intangibles</w:t>
            </w: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160.9</w:t>
            </w: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Accumulated amortization</w:t>
            </w: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380" w:firstLine="392"/>
        <w:spacing w:after="0" w:line="295" w:lineRule="auto"/>
        <w:rPr>
          <w:sz w:val="20"/>
          <w:szCs w:val="20"/>
          <w:color w:val="auto"/>
        </w:rPr>
      </w:pPr>
      <w:r>
        <w:rPr>
          <w:rFonts w:ascii="Times New Roman" w:cs="Times New Roman" w:eastAsia="Times New Roman" w:hAnsi="Times New Roman"/>
          <w:sz w:val="17"/>
          <w:szCs w:val="17"/>
          <w:color w:val="auto"/>
        </w:rPr>
        <w:t>Amortization expense was $7.5 million and $20.6 million for the three and nine months ended September 30, 2024, respectively, and $7.7 million and $22.7 million for the three and nine months ended September 30, 2023, respectively.</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9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Expected future amortization expense for intangible assets as of September 30, 2024 is as follows: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84"/>
        </w:trPr>
        <w:tc>
          <w:tcPr>
            <w:tcW w:w="90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Intangible assets</w:t>
            </w:r>
          </w:p>
        </w:tc>
      </w:tr>
      <w:tr>
        <w:trPr>
          <w:trHeight w:val="21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2024</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2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2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5"/>
        </w:trPr>
        <w:tc>
          <w:tcPr>
            <w:tcW w:w="90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w:t>
            </w:r>
          </w:p>
        </w:tc>
      </w:tr>
      <w:tr>
        <w:trPr>
          <w:trHeight w:val="20"/>
        </w:trPr>
        <w:tc>
          <w:tcPr>
            <w:tcW w:w="9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Goodwill</w:t>
      </w:r>
    </w:p>
    <w:p>
      <w:pPr>
        <w:spacing w:after="0" w:line="251" w:lineRule="exact"/>
        <w:rPr>
          <w:sz w:val="20"/>
          <w:szCs w:val="20"/>
          <w:color w:val="auto"/>
        </w:rPr>
      </w:pPr>
    </w:p>
    <w:p>
      <w:pPr>
        <w:ind w:right="480" w:firstLine="392"/>
        <w:spacing w:after="0" w:line="295" w:lineRule="auto"/>
        <w:rPr>
          <w:sz w:val="20"/>
          <w:szCs w:val="20"/>
          <w:color w:val="auto"/>
        </w:rPr>
      </w:pPr>
      <w:r>
        <w:rPr>
          <w:rFonts w:ascii="Times New Roman" w:cs="Times New Roman" w:eastAsia="Times New Roman" w:hAnsi="Times New Roman"/>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46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402.2</w:t>
            </w:r>
          </w:p>
        </w:tc>
      </w:tr>
      <w:tr>
        <w:trPr>
          <w:trHeight w:val="222"/>
        </w:trPr>
        <w:tc>
          <w:tcPr>
            <w:tcW w:w="794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Acquisitions</w:t>
            </w:r>
            <w:r>
              <w:rPr>
                <w:rFonts w:ascii="Times New Roman" w:cs="Times New Roman" w:eastAsia="Times New Roman" w:hAnsi="Times New Roman"/>
                <w:sz w:val="22"/>
                <w:szCs w:val="22"/>
                <w:color w:val="auto"/>
                <w:vertAlign w:val="superscript"/>
              </w:rPr>
              <w:t>(1)</w:t>
            </w:r>
          </w:p>
        </w:tc>
        <w:tc>
          <w:tcPr>
            <w:tcW w:w="14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foreign currency translation</w:t>
            </w:r>
          </w:p>
        </w:tc>
        <w:tc>
          <w:tcPr>
            <w:tcW w:w="14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5"/>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September 30, 2024</w:t>
            </w:r>
          </w:p>
        </w:tc>
        <w:tc>
          <w:tcPr>
            <w:tcW w:w="1460" w:type="dxa"/>
            <w:vAlign w:val="bottom"/>
            <w:tcBorders>
              <w:bottom w:val="single" w:sz="8" w:color="auto"/>
            </w:tcBorders>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442.7</w:t>
            </w:r>
          </w:p>
        </w:tc>
      </w:tr>
      <w:tr>
        <w:trPr>
          <w:trHeight w:val="20"/>
        </w:trPr>
        <w:tc>
          <w:tcPr>
            <w:tcW w:w="7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160" w:hanging="155"/>
        <w:spacing w:after="0"/>
        <w:tabs>
          <w:tab w:leader="none" w:pos="16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The Company completed two acquisitions of private companies during the nine months ended September 30, 2024.</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398" w:lineRule="exact"/>
        <w:rPr>
          <w:rFonts w:ascii="Times New Roman" w:cs="Times New Roman" w:eastAsia="Times New Roman" w:hAnsi="Times New Roman"/>
          <w:sz w:val="18"/>
          <w:szCs w:val="18"/>
          <w:color w:val="auto"/>
          <w:vertAlign w:val="superscript"/>
        </w:rPr>
      </w:pPr>
    </w:p>
    <w:p>
      <w:pPr>
        <w:ind w:left="55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620" w:firstLine="392"/>
        <w:spacing w:after="0" w:line="295" w:lineRule="auto"/>
        <w:rPr>
          <w:sz w:val="20"/>
          <w:szCs w:val="20"/>
          <w:color w:val="auto"/>
        </w:rPr>
      </w:pPr>
      <w:r>
        <w:rPr>
          <w:rFonts w:ascii="Times New Roman" w:cs="Times New Roman" w:eastAsia="Times New Roman" w:hAnsi="Times New Roman"/>
          <w:sz w:val="17"/>
          <w:szCs w:val="17"/>
          <w:color w:val="auto"/>
        </w:rPr>
        <w:t>Goodwill amounts are not amortized, but tested for impairment on an annual basis. There was no impairment of goodwill during the periods ended September 30, 2024 and December 31, 2023.</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Debt</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facility</w:t>
      </w:r>
    </w:p>
    <w:p>
      <w:pPr>
        <w:spacing w:after="0" w:line="253" w:lineRule="exact"/>
        <w:rPr>
          <w:sz w:val="20"/>
          <w:szCs w:val="20"/>
          <w:color w:val="auto"/>
        </w:rPr>
      </w:pPr>
    </w:p>
    <w:p>
      <w:pPr>
        <w:ind w:right="160" w:firstLine="392"/>
        <w:spacing w:after="0" w:line="262" w:lineRule="auto"/>
        <w:rPr>
          <w:sz w:val="20"/>
          <w:szCs w:val="20"/>
          <w:color w:val="auto"/>
        </w:rPr>
      </w:pPr>
      <w:r>
        <w:rPr>
          <w:rFonts w:ascii="Times New Roman" w:cs="Times New Roman" w:eastAsia="Times New Roman" w:hAnsi="Times New Roman"/>
          <w:sz w:val="17"/>
          <w:szCs w:val="17"/>
          <w:color w:val="auto"/>
        </w:rPr>
        <w:t>In February 2018, the Company entered into an amendment to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 borrowing capacity under the revolving credit facility from $725.0 million to $500.0 million, the letter of credit sublimit from</w:t>
      </w:r>
    </w:p>
    <w:p>
      <w:pPr>
        <w:spacing w:after="0" w:line="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$187.5 million to $65.0 million and extended the term of the agreement through February 2026. The Company may from time-to-time request increases in its borrowing capacity under the revolving credit facility of up to $250.0 million, provided no event of default has occurred or is continuing or would result from such increase. In conjunction with the February 2021 amendment, the Company paid upfront issuance fees of $1.7 million, which are being amortized over the remaining term of the agreement, and wrote-off $0.2 million in unamortized deferred debt issuance costs. In March 2023, the Company amended the revolving credit facility to update its borrowing benchmark from LIBOR to SOFR, with a fixed credit spread adjustment of 0.10%. In conjunction with the March 2023 amendment, the Company incurred upfront issuance fees of $0.1 million, which are being amortized over the remaining term of the agreement.</w:t>
      </w:r>
    </w:p>
    <w:p>
      <w:pPr>
        <w:spacing w:after="0" w:line="201"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credit spread adjusted SOFR plus a spread of 1.375% or at an alternative base rate plus a spread of 0.375%.</w:t>
      </w:r>
    </w:p>
    <w:p>
      <w:pPr>
        <w:spacing w:after="0" w:line="199"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 The Company was in compliance with the covenants of the revolving credit facility as of September 30, 2024 and December 31, 2023, respectively.</w:t>
      </w:r>
    </w:p>
    <w:p>
      <w:pPr>
        <w:spacing w:after="0" w:line="197" w:lineRule="exact"/>
        <w:rPr>
          <w:sz w:val="20"/>
          <w:szCs w:val="20"/>
          <w:color w:val="auto"/>
        </w:rPr>
      </w:pPr>
    </w:p>
    <w:p>
      <w:pPr>
        <w:ind w:right="140" w:firstLine="392"/>
        <w:spacing w:after="0" w:line="276" w:lineRule="auto"/>
        <w:rPr>
          <w:sz w:val="20"/>
          <w:szCs w:val="20"/>
          <w:color w:val="auto"/>
        </w:rPr>
      </w:pPr>
      <w:r>
        <w:rPr>
          <w:rFonts w:ascii="Times New Roman" w:cs="Times New Roman" w:eastAsia="Times New Roman" w:hAnsi="Times New Roman"/>
          <w:sz w:val="17"/>
          <w:szCs w:val="17"/>
          <w:color w:val="auto"/>
        </w:rPr>
        <w:t>The Company had an aggregate of $30.5 million of letters of credit outstanding under the revolving credit facility as of September 30, 2024, and the Company’s total available borrowing capacity under the revolving credit facility was $469.5 million as of September 30, 2024. The Company’s letters of credit have final expiration dates through 2036.</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w:t>
      </w:r>
    </w:p>
    <w:p>
      <w:pPr>
        <w:spacing w:after="0" w:line="253"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spacing w:after="0" w:line="195" w:lineRule="exact"/>
        <w:rPr>
          <w:sz w:val="20"/>
          <w:szCs w:val="20"/>
          <w:color w:val="auto"/>
        </w:rPr>
      </w:pPr>
    </w:p>
    <w:p>
      <w:pPr>
        <w:ind w:right="100" w:firstLine="392"/>
        <w:spacing w:after="0" w:line="273" w:lineRule="auto"/>
        <w:rPr>
          <w:sz w:val="20"/>
          <w:szCs w:val="20"/>
          <w:color w:val="auto"/>
        </w:rPr>
      </w:pPr>
      <w:r>
        <w:rPr>
          <w:rFonts w:ascii="Times New Roman" w:cs="Times New Roman" w:eastAsia="Times New Roman" w:hAnsi="Times New Roman"/>
          <w:sz w:val="17"/>
          <w:szCs w:val="17"/>
          <w:color w:val="auto"/>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September 30, 2024. The 2026 Notes will mature on March 1, 2026, and the 2028 Notes will mature on March 1, 2028, in each case, unless earlier converted, redeemed or repurchased.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September 30, 2024.</w:t>
      </w:r>
    </w:p>
    <w:p>
      <w:pPr>
        <w:spacing w:after="0" w:line="200" w:lineRule="exact"/>
        <w:rPr>
          <w:sz w:val="20"/>
          <w:szCs w:val="20"/>
          <w:color w:val="auto"/>
        </w:rPr>
      </w:pPr>
    </w:p>
    <w:p>
      <w:pPr>
        <w:ind w:right="80" w:firstLine="392"/>
        <w:spacing w:after="0" w:line="268" w:lineRule="auto"/>
        <w:rPr>
          <w:sz w:val="20"/>
          <w:szCs w:val="20"/>
          <w:color w:val="auto"/>
        </w:rPr>
      </w:pPr>
      <w:r>
        <w:rPr>
          <w:rFonts w:ascii="Times New Roman" w:cs="Times New Roman" w:eastAsia="Times New Roman" w:hAnsi="Times New Roman"/>
          <w:sz w:val="17"/>
          <w:szCs w:val="17"/>
          <w:color w:val="auto"/>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series of Notes as of September 30, 2024. In addition, during the three and nine months ended September 30, 2024 the conditions allowing holders of the Notes to convert during the following fiscal quarter were not met.</w:t>
      </w:r>
    </w:p>
    <w:p>
      <w:pPr>
        <w:spacing w:after="0" w:line="200" w:lineRule="exact"/>
        <w:rPr>
          <w:sz w:val="20"/>
          <w:szCs w:val="20"/>
          <w:color w:val="auto"/>
        </w:rPr>
      </w:pPr>
    </w:p>
    <w:p>
      <w:pPr>
        <w:spacing w:after="0" w:line="208"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7"/>
          <w:szCs w:val="17"/>
          <w:color w:val="auto"/>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spacing w:after="0" w:line="200"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spacing w:after="0" w:line="188"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color w:val="auto"/>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spacing w:after="0" w:line="200"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spacing w:after="0" w:line="195" w:lineRule="exact"/>
        <w:rPr>
          <w:sz w:val="20"/>
          <w:szCs w:val="20"/>
          <w:color w:val="auto"/>
        </w:rPr>
      </w:pPr>
    </w:p>
    <w:p>
      <w:pPr>
        <w:ind w:right="400" w:firstLine="392"/>
        <w:spacing w:after="0" w:line="276" w:lineRule="auto"/>
        <w:rPr>
          <w:sz w:val="20"/>
          <w:szCs w:val="20"/>
          <w:color w:val="auto"/>
        </w:rPr>
      </w:pPr>
      <w:r>
        <w:rPr>
          <w:rFonts w:ascii="Times New Roman" w:cs="Times New Roman" w:eastAsia="Times New Roman" w:hAnsi="Times New Roman"/>
          <w:sz w:val="17"/>
          <w:szCs w:val="17"/>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240"/>
        <w:spacing w:after="0" w:line="295" w:lineRule="auto"/>
        <w:rPr>
          <w:sz w:val="20"/>
          <w:szCs w:val="20"/>
          <w:color w:val="auto"/>
        </w:rPr>
      </w:pPr>
      <w:r>
        <w:rPr>
          <w:rFonts w:ascii="Times New Roman" w:cs="Times New Roman" w:eastAsia="Times New Roman" w:hAnsi="Times New Roman"/>
          <w:sz w:val="17"/>
          <w:szCs w:val="17"/>
          <w:color w:val="auto"/>
        </w:rPr>
        <w:t>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173" w:lineRule="exact"/>
        <w:rPr>
          <w:sz w:val="20"/>
          <w:szCs w:val="20"/>
          <w:color w:val="auto"/>
        </w:rPr>
      </w:pPr>
    </w:p>
    <w:p>
      <w:pPr>
        <w:ind w:right="40" w:firstLine="392"/>
        <w:spacing w:after="0" w:line="276" w:lineRule="auto"/>
        <w:rPr>
          <w:sz w:val="20"/>
          <w:szCs w:val="20"/>
          <w:color w:val="auto"/>
        </w:rPr>
      </w:pPr>
      <w:r>
        <w:rPr>
          <w:rFonts w:ascii="Times New Roman" w:cs="Times New Roman" w:eastAsia="Times New Roman" w:hAnsi="Times New Roman"/>
          <w:sz w:val="17"/>
          <w:szCs w:val="17"/>
          <w:color w:val="auto"/>
        </w:rPr>
        <w:t>In accounting for the Notes, issuance costs of $11.0 million and $11.0 million for the 2026 Notes and the 2028 Notes, respectively, were deducted from the carrying value of the Notes in the consolidated balance sheet. Issuance costs will be recognized as interest expense over the five-year term and seven-year term for the 2026 Notes and the 2028 Notes, respectively.</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is a summary of the Notes as of September 30, 2024 and December 31,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2028 Notes</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1500" w:type="dxa"/>
            <w:vAlign w:val="bottom"/>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695.8</w:t>
            </w:r>
          </w:p>
        </w:tc>
        <w:tc>
          <w:tcPr>
            <w:tcW w:w="100" w:type="dxa"/>
            <w:vAlign w:val="bottom"/>
          </w:tcPr>
          <w:p>
            <w:pPr>
              <w:spacing w:after="0"/>
              <w:rPr>
                <w:sz w:val="19"/>
                <w:szCs w:val="19"/>
                <w:color w:val="auto"/>
              </w:rPr>
            </w:pPr>
          </w:p>
        </w:tc>
        <w:tc>
          <w:tcPr>
            <w:tcW w:w="1500" w:type="dxa"/>
            <w:vAlign w:val="bottom"/>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693.3</w:t>
            </w:r>
          </w:p>
        </w:tc>
        <w:tc>
          <w:tcPr>
            <w:tcW w:w="8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1,389.1</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5"/>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15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692.7</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687.9</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1,380.6</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8"/>
        </w:trPr>
        <w:tc>
          <w:tcPr>
            <w:tcW w:w="49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1500" w:type="dxa"/>
            <w:vAlign w:val="bottom"/>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1,389.1</w:t>
            </w:r>
          </w:p>
        </w:tc>
      </w:tr>
      <w:tr>
        <w:trPr>
          <w:trHeight w:val="222"/>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4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1500" w:type="dxa"/>
            <w:vAlign w:val="bottom"/>
            <w:tcBorders>
              <w:bottom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691.0</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20" w:firstLine="392"/>
        <w:spacing w:after="0" w:line="266" w:lineRule="auto"/>
        <w:rPr>
          <w:sz w:val="20"/>
          <w:szCs w:val="20"/>
          <w:color w:val="auto"/>
        </w:rPr>
      </w:pPr>
      <w:r>
        <w:rPr>
          <w:rFonts w:ascii="Times New Roman" w:cs="Times New Roman" w:eastAsia="Times New Roman" w:hAnsi="Times New Roman"/>
          <w:sz w:val="17"/>
          <w:szCs w:val="17"/>
          <w:color w:val="auto"/>
        </w:rPr>
        <w:t>During the three months ended September 30, 2024 and 2023, the Company recognized $0.6 million and $0.6 million in interest expense for the 2026 Notes and $0.4 million and $0.4 million in interest expense for the 2028 Notes, respectively, with such interest expense solely consisting of amortization of issuance costs. During the nine months ended September 30, 2024 and 2023, the Company recognized $1.7 million and $1.7 million in interest expense for the 2026 Notes and $1.1 million and $1.2 million in interest expense for the 2028 Notes, respectively, with such interest expense solely consisting of amortization of issuance costs. The effective interest rate for the 2026 Notes and the 2028 Notes was 0.32% and 0.22%, respectively, as of September 30,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Maturities on the Company's long-term convertible debt are as follows:</w:t>
            </w: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84"/>
        </w:trPr>
        <w:tc>
          <w:tcPr>
            <w:tcW w:w="9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Convertible Debt</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695.8</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693.3</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1,389.1</w:t>
            </w:r>
          </w:p>
        </w:tc>
      </w:tr>
      <w:tr>
        <w:trPr>
          <w:trHeight w:val="20"/>
        </w:trPr>
        <w:tc>
          <w:tcPr>
            <w:tcW w:w="9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 Hedges and Warrants</w:t>
      </w:r>
    </w:p>
    <w:p>
      <w:pPr>
        <w:spacing w:after="0" w:line="253" w:lineRule="exact"/>
        <w:rPr>
          <w:sz w:val="20"/>
          <w:szCs w:val="20"/>
          <w:color w:val="auto"/>
        </w:rPr>
      </w:pPr>
    </w:p>
    <w:p>
      <w:pPr>
        <w:ind w:right="40" w:firstLine="392"/>
        <w:spacing w:after="0" w:line="268" w:lineRule="auto"/>
        <w:rPr>
          <w:sz w:val="20"/>
          <w:szCs w:val="20"/>
          <w:color w:val="auto"/>
        </w:rPr>
      </w:pPr>
      <w:r>
        <w:rPr>
          <w:rFonts w:ascii="Times New Roman" w:cs="Times New Roman" w:eastAsia="Times New Roman" w:hAnsi="Times New Roman"/>
          <w:sz w:val="17"/>
          <w:szCs w:val="17"/>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Class A common stock at a price of approximately $38.25 and $35.35 per share, respectively. The aggregate cost of the convertible note hedge transactions was $265.3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60" w:firstLine="392"/>
        <w:spacing w:after="0" w:line="266" w:lineRule="auto"/>
        <w:rPr>
          <w:sz w:val="20"/>
          <w:szCs w:val="20"/>
          <w:color w:val="auto"/>
        </w:rPr>
      </w:pPr>
      <w:r>
        <w:rPr>
          <w:rFonts w:ascii="Times New Roman" w:cs="Times New Roman" w:eastAsia="Times New Roman" w:hAnsi="Times New Roman"/>
          <w:sz w:val="17"/>
          <w:szCs w:val="17"/>
          <w:color w:val="auto"/>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series of Notes.</w:t>
      </w:r>
    </w:p>
    <w:p>
      <w:pPr>
        <w:spacing w:after="0" w:line="197"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The convertible note hedge transactions are expected generally to offset the potential dilution to the Class A common stock upon conversion of the relevant series of Notes and/or reduce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September 30, 2024, the Company’s stock price was below the exercise price of the respective Note Hedges.</w:t>
      </w:r>
    </w:p>
    <w:p>
      <w:pPr>
        <w:spacing w:after="0" w:line="197"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In addition, the Company sold warrants to certain counterparties whereby the holders of the warrants had the option to purchase a total of approximately 18.1 million shares of Class A common stock underlying such warrants expiring in 2026 (the “2026 Warrants”) and 20.1 million shares of Class A common stock underlying such warrants expiring in 2028 (the “2028 Warrants”, together with the 2026 Warrants, the “Warrants”), respectively, at an initial strike price of $46.36 and $46.36 per share, respectively. The Company received aggregate cash proceeds of $202.9 million from the sale of these Warrants.</w:t>
      </w:r>
    </w:p>
    <w:p>
      <w:pPr>
        <w:spacing w:after="0" w:line="195"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September 30, 2024, the Company’s Class A common stock price was below the exercise price of the Warrants.</w:t>
      </w:r>
    </w:p>
    <w:p>
      <w:pPr>
        <w:spacing w:after="0" w:line="200"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spacing w:after="0" w:line="188"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Leases</w:t>
      </w:r>
    </w:p>
    <w:p>
      <w:pPr>
        <w:spacing w:after="0" w:line="251"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The Company has operating leases for corporate offices and datacenters, and finance leases for infrastructure and office equipment. The Company’s leases have remaining lease terms of under 1 year to 12 years, some of which include options to extend the leases for up to 5 years.</w:t>
      </w:r>
    </w:p>
    <w:p>
      <w:pPr>
        <w:spacing w:after="0" w:line="160" w:lineRule="exact"/>
        <w:rPr>
          <w:sz w:val="20"/>
          <w:szCs w:val="20"/>
          <w:color w:val="auto"/>
        </w:rPr>
      </w:pPr>
    </w:p>
    <w:p>
      <w:pPr>
        <w:ind w:firstLine="392"/>
        <w:spacing w:after="0" w:line="253" w:lineRule="auto"/>
        <w:rPr>
          <w:sz w:val="20"/>
          <w:szCs w:val="20"/>
          <w:color w:val="auto"/>
        </w:rPr>
      </w:pPr>
      <w:r>
        <w:rPr>
          <w:rFonts w:ascii="Times New Roman" w:cs="Times New Roman" w:eastAsia="Times New Roman" w:hAnsi="Times New Roman"/>
          <w:sz w:val="17"/>
          <w:szCs w:val="17"/>
          <w:color w:val="auto"/>
        </w:rPr>
        <w:t>The Company also has subleases for several floors of its corporate offices. The Company classifies its subleases as operating leases. The subleases have remaining lease terms of 1 year to 9 years, some of which include options to extend the sublease for up to approximately 4 years. Sublease income, which is recorded as a reduction of rental expense, was $3.5 million and $10.5 million during the three and nine months ended September 30, 2024, respectively, and $3.6 million and $11.9 million during the three and nine months ended September 30, 2023, respectively.</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Future minimum lease payments under non-cancellable leases as of September 30, 2024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Operating leases</w:t>
            </w:r>
            <w:r>
              <w:rPr>
                <w:rFonts w:ascii="Times New Roman" w:cs="Times New Roman" w:eastAsia="Times New Roman" w:hAnsi="Times New Roman"/>
                <w:sz w:val="22"/>
                <w:szCs w:val="22"/>
                <w:b w:val="1"/>
                <w:bCs w:val="1"/>
                <w:color w:val="auto"/>
                <w:vertAlign w:val="superscript"/>
              </w:rPr>
              <w:t>(1)</w:t>
            </w:r>
          </w:p>
        </w:tc>
        <w:tc>
          <w:tcPr>
            <w:tcW w:w="300" w:type="dxa"/>
            <w:vAlign w:val="bottom"/>
          </w:tcPr>
          <w:p>
            <w:pPr>
              <w:spacing w:after="0"/>
              <w:rPr>
                <w:sz w:val="22"/>
                <w:szCs w:val="22"/>
                <w:color w:val="auto"/>
              </w:rPr>
            </w:pPr>
          </w:p>
        </w:tc>
        <w:tc>
          <w:tcPr>
            <w:tcW w:w="174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Finance leases</w:t>
            </w:r>
          </w:p>
        </w:tc>
      </w:tr>
      <w:tr>
        <w:trPr>
          <w:trHeight w:val="215"/>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w:t>
            </w: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future minimum lease payments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401.6</w:t>
            </w:r>
          </w:p>
        </w:tc>
        <w:tc>
          <w:tcPr>
            <w:tcW w:w="10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334.3</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15"/>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liability</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308.8</w:t>
            </w: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right="260" w:firstLine="5"/>
        <w:spacing w:after="0" w:line="306" w:lineRule="auto"/>
        <w:tabs>
          <w:tab w:leader="none" w:pos="144"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Future non-cancelable rent payments from the Company's subtenants as of September 30, 2024 were as follows: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84"/>
        </w:trPr>
        <w:tc>
          <w:tcPr>
            <w:tcW w:w="9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Operating leases</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15"/>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future sublease rent payments, net</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w:t>
            </w:r>
          </w:p>
        </w:tc>
      </w:tr>
      <w:tr>
        <w:trPr>
          <w:trHeight w:val="20"/>
        </w:trPr>
        <w:tc>
          <w:tcPr>
            <w:tcW w:w="9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240" w:firstLine="392"/>
        <w:spacing w:after="0" w:line="253" w:lineRule="auto"/>
        <w:rPr>
          <w:sz w:val="20"/>
          <w:szCs w:val="20"/>
          <w:color w:val="auto"/>
        </w:rPr>
      </w:pPr>
      <w:r>
        <w:rPr>
          <w:rFonts w:ascii="Times New Roman" w:cs="Times New Roman" w:eastAsia="Times New Roman" w:hAnsi="Times New Roman"/>
          <w:sz w:val="17"/>
          <w:szCs w:val="17"/>
          <w:color w:val="auto"/>
        </w:rPr>
        <w:t>In 2017, the Company signed a 15 year lease agreement for office space in San Francisco, California, to serve as its corporate headquarters which commenced in 2018. The Company's obligations under the lease are supported by a $17.5 million letter of credit, which reduced the Company's borrowing capacity under the revolving credit facility. As of September 30, 2024, the Company's remaining minimum obligation under the lease for its headquarters was $175.2 million.</w:t>
      </w:r>
    </w:p>
    <w:p>
      <w:pPr>
        <w:spacing w:after="0" w:line="208"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In the fourth quarter of 2020, the Company announced a Virtual First work model pursuant to which remote work has become the primary experience for all of its employees. As part of the Virtual First strategy, the Company retained a portion of its office space to be used for the Company’s team collaboration use and a portion was marketed for sublease. In connection with these changes, the Company evaluated certain of its right-of-use assets and other lease related property and equipment assets including leasehold improvements, furniture and fixtures, and computer equipment for impairment under ASC 360.</w:t>
      </w:r>
    </w:p>
    <w:p>
      <w:pPr>
        <w:spacing w:after="0" w:line="195" w:lineRule="exact"/>
        <w:rPr>
          <w:sz w:val="20"/>
          <w:szCs w:val="20"/>
          <w:color w:val="auto"/>
        </w:rPr>
      </w:pPr>
    </w:p>
    <w:p>
      <w:pPr>
        <w:jc w:val="both"/>
        <w:ind w:right="240" w:firstLine="392"/>
        <w:spacing w:after="0" w:line="295" w:lineRule="auto"/>
        <w:rPr>
          <w:sz w:val="20"/>
          <w:szCs w:val="20"/>
          <w:color w:val="auto"/>
        </w:rPr>
      </w:pPr>
      <w:r>
        <w:rPr>
          <w:rFonts w:ascii="Times New Roman" w:cs="Times New Roman" w:eastAsia="Times New Roman" w:hAnsi="Times New Roman"/>
          <w:sz w:val="17"/>
          <w:szCs w:val="17"/>
          <w:color w:val="auto"/>
        </w:rPr>
        <w:t>As part of this analysis, the Company reassessed its real estate asset groups and estimated the fair value of the office space to be subleased using current market conditions. Where the carrying value of the individual asset groups exceeded their fair value, an impairment charge was recognized for the difference.</w:t>
      </w:r>
    </w:p>
    <w:p>
      <w:pPr>
        <w:spacing w:after="0" w:line="173" w:lineRule="exact"/>
        <w:rPr>
          <w:sz w:val="20"/>
          <w:szCs w:val="20"/>
          <w:color w:val="auto"/>
        </w:rPr>
      </w:pPr>
    </w:p>
    <w:p>
      <w:pPr>
        <w:ind w:right="20" w:firstLine="392"/>
        <w:spacing w:after="0" w:line="295" w:lineRule="auto"/>
        <w:rPr>
          <w:sz w:val="20"/>
          <w:szCs w:val="20"/>
          <w:color w:val="auto"/>
        </w:rPr>
      </w:pPr>
      <w:r>
        <w:rPr>
          <w:rFonts w:ascii="Times New Roman" w:cs="Times New Roman" w:eastAsia="Times New Roman" w:hAnsi="Times New Roman"/>
          <w:sz w:val="17"/>
          <w:szCs w:val="17"/>
          <w:color w:val="auto"/>
        </w:rPr>
        <w:t>During the three and nine months ended September 30, 2024, the Company did not recognize any impairment charges, compared to $2.2 million during the three and nine months ended September 30, 2023, related to right-of-use assets and other lease related property and equipment assets.</w:t>
      </w:r>
    </w:p>
    <w:p>
      <w:pPr>
        <w:spacing w:after="0" w:line="173" w:lineRule="exact"/>
        <w:rPr>
          <w:sz w:val="20"/>
          <w:szCs w:val="20"/>
          <w:color w:val="auto"/>
        </w:rPr>
      </w:pPr>
    </w:p>
    <w:p>
      <w:pPr>
        <w:ind w:right="180" w:firstLine="392"/>
        <w:spacing w:after="0" w:line="269" w:lineRule="auto"/>
        <w:rPr>
          <w:sz w:val="20"/>
          <w:szCs w:val="20"/>
          <w:color w:val="auto"/>
        </w:rPr>
      </w:pPr>
      <w:r>
        <w:rPr>
          <w:rFonts w:ascii="Times New Roman" w:cs="Times New Roman" w:eastAsia="Times New Roman" w:hAnsi="Times New Roman"/>
          <w:sz w:val="17"/>
          <w:szCs w:val="17"/>
          <w:color w:val="auto"/>
        </w:rPr>
        <w:t>In the fourth quarter of 2023, the Company executed an amendment to the lease ("the lease amendment") for its San Francisco, California corporate headquarters, whereby the Company has already or will surrender to the landlord approximately 165,000 square feet of office space and pay an aggregate of $79.0 million in termination payments. The termination fees occur in three tranches: approximately 52,000 square feet and $28.1 million paid in October 2023 upon the execution of the lease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 54,000 square feet and $14.9 million paid in June 2024, and the remaining 59,000 square feet and $36.0 million paid in January 2025.</w:t>
      </w:r>
    </w:p>
    <w:p>
      <w:pPr>
        <w:spacing w:after="0" w:line="249" w:lineRule="exact"/>
        <w:rPr>
          <w:sz w:val="20"/>
          <w:szCs w:val="20"/>
          <w:color w:val="auto"/>
        </w:rPr>
      </w:pPr>
    </w:p>
    <w:p>
      <w:pPr>
        <w:ind w:right="240" w:firstLine="392"/>
        <w:spacing w:after="0" w:line="295" w:lineRule="auto"/>
        <w:rPr>
          <w:sz w:val="20"/>
          <w:szCs w:val="20"/>
          <w:color w:val="auto"/>
        </w:rPr>
      </w:pPr>
      <w:r>
        <w:rPr>
          <w:rFonts w:ascii="Times New Roman" w:cs="Times New Roman" w:eastAsia="Times New Roman" w:hAnsi="Times New Roman"/>
          <w:sz w:val="17"/>
          <w:szCs w:val="17"/>
          <w:color w:val="auto"/>
        </w:rPr>
        <w:t>As of September 30, 2024, the Company had $76.2 million in commitments for leases that have not yet commenced, and therefore is not included in the right-of-use asset or lease liability. These leases will commence in 2025, with lease terms of 7 years.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Commitments and Contingencies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Legal matters</w:t>
      </w:r>
    </w:p>
    <w:p>
      <w:pPr>
        <w:spacing w:after="0" w:line="122" w:lineRule="exact"/>
        <w:rPr>
          <w:sz w:val="20"/>
          <w:szCs w:val="20"/>
          <w:color w:val="auto"/>
        </w:rPr>
      </w:pPr>
    </w:p>
    <w:p>
      <w:pPr>
        <w:ind w:right="100" w:firstLine="392"/>
        <w:spacing w:after="0" w:line="264" w:lineRule="auto"/>
        <w:rPr>
          <w:sz w:val="20"/>
          <w:szCs w:val="20"/>
          <w:color w:val="auto"/>
        </w:rPr>
      </w:pPr>
      <w:r>
        <w:rPr>
          <w:rFonts w:ascii="Times New Roman" w:cs="Times New Roman" w:eastAsia="Times New Roman" w:hAnsi="Times New Roman"/>
          <w:sz w:val="17"/>
          <w:szCs w:val="17"/>
          <w:color w:val="auto"/>
        </w:rPr>
        <w:t>From time-to-time, the Company is a party to a variety of claims, lawsuits, investigations, inquiries,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w:t>
      </w:r>
    </w:p>
    <w:p>
      <w:pPr>
        <w:spacing w:after="0" w:line="122"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w:t>
      </w:r>
    </w:p>
    <w:p>
      <w:pPr>
        <w:spacing w:after="0" w:line="122" w:lineRule="exact"/>
        <w:rPr>
          <w:sz w:val="20"/>
          <w:szCs w:val="20"/>
          <w:color w:val="auto"/>
        </w:rPr>
      </w:pPr>
    </w:p>
    <w:p>
      <w:pPr>
        <w:jc w:val="both"/>
        <w:ind w:right="300" w:firstLine="392"/>
        <w:spacing w:after="0" w:line="276" w:lineRule="auto"/>
        <w:rPr>
          <w:sz w:val="20"/>
          <w:szCs w:val="20"/>
          <w:color w:val="auto"/>
        </w:rPr>
      </w:pPr>
      <w:r>
        <w:rPr>
          <w:rFonts w:ascii="Times New Roman" w:cs="Times New Roman" w:eastAsia="Times New Roman" w:hAnsi="Times New Roman"/>
          <w:sz w:val="17"/>
          <w:szCs w:val="17"/>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11. Accrued and Other Current Liabilities</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68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Accrued and other current liabilities consisted of the following:</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549"/>
        </w:trPr>
        <w:tc>
          <w:tcPr>
            <w:tcW w:w="6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00" w:type="dxa"/>
            <w:vAlign w:val="bottom"/>
            <w:tcBorders>
              <w:bottom w:val="single" w:sz="8" w:color="auto"/>
            </w:tcBorders>
          </w:tcPr>
          <w:p>
            <w:pPr>
              <w:spacing w:after="0"/>
              <w:rPr>
                <w:sz w:val="24"/>
                <w:szCs w:val="24"/>
                <w:color w:val="auto"/>
              </w:rPr>
            </w:pPr>
          </w:p>
        </w:tc>
      </w:tr>
      <w:tr>
        <w:trPr>
          <w:trHeight w:val="215"/>
        </w:trPr>
        <w:tc>
          <w:tcPr>
            <w:tcW w:w="6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260" w:type="dxa"/>
            <w:vAlign w:val="bottom"/>
          </w:tcPr>
          <w:p>
            <w:pPr>
              <w:spacing w:after="0"/>
              <w:rPr>
                <w:sz w:val="18"/>
                <w:szCs w:val="18"/>
                <w:color w:val="auto"/>
              </w:rPr>
            </w:pPr>
          </w:p>
        </w:tc>
        <w:tc>
          <w:tcPr>
            <w:tcW w:w="19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5"/>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Non-income taxes payable</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legal and other external fees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22"/>
        </w:trPr>
        <w:tc>
          <w:tcPr>
            <w:tcW w:w="68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Acquisition indemnification holdbacks</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22"/>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accrued and current liabilities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w:t>
            </w:r>
          </w:p>
        </w:tc>
      </w:tr>
      <w:tr>
        <w:trPr>
          <w:trHeight w:val="24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accrued and other current liabilities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ind w:left="160" w:hanging="155"/>
        <w:spacing w:after="0"/>
        <w:tabs>
          <w:tab w:leader="none" w:pos="16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Acquisition indemnification holdbacks were released to the sellers' representative following the expiration of the applicable holdback period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12.Stockholders’ Deficit</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22" w:lineRule="exact"/>
        <w:rPr>
          <w:sz w:val="20"/>
          <w:szCs w:val="20"/>
          <w:color w:val="auto"/>
        </w:rPr>
      </w:pPr>
    </w:p>
    <w:p>
      <w:pPr>
        <w:ind w:firstLine="392"/>
        <w:spacing w:after="0" w:line="268" w:lineRule="auto"/>
        <w:rPr>
          <w:sz w:val="20"/>
          <w:szCs w:val="20"/>
          <w:color w:val="auto"/>
        </w:rPr>
      </w:pPr>
      <w:r>
        <w:rPr>
          <w:rFonts w:ascii="Times New Roman" w:cs="Times New Roman" w:eastAsia="Times New Roman" w:hAnsi="Times New Roman"/>
          <w:sz w:val="17"/>
          <w:szCs w:val="17"/>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200" w:lineRule="exact"/>
        <w:rPr>
          <w:sz w:val="20"/>
          <w:szCs w:val="20"/>
          <w:color w:val="auto"/>
        </w:rPr>
      </w:pPr>
    </w:p>
    <w:p>
      <w:pPr>
        <w:spacing w:after="0" w:line="208"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As of September 30, 2024, the Company had authorized 2,400.0 million shares of Class A common stock, 475.0 million shares of Class B common stock, and 800.0 million shares of Class C common stock, each at par value of $0.00001. Holders of Class B common stock voluntarily converted 0.6 million and 1.6 million shares during the three and nine months ended September 30, 2024, respectively, and 0.4 million and 1.4 million shares into an equivalent number of shares of Class A common stock during the three and nine months ended September 30, 2023, respectively.</w:t>
      </w:r>
    </w:p>
    <w:p>
      <w:pPr>
        <w:spacing w:after="0" w:line="195" w:lineRule="exact"/>
        <w:rPr>
          <w:sz w:val="20"/>
          <w:szCs w:val="20"/>
          <w:color w:val="auto"/>
        </w:rPr>
      </w:pPr>
    </w:p>
    <w:p>
      <w:pPr>
        <w:ind w:right="100" w:firstLine="392"/>
        <w:spacing w:after="0" w:line="264" w:lineRule="auto"/>
        <w:rPr>
          <w:sz w:val="20"/>
          <w:szCs w:val="20"/>
          <w:color w:val="auto"/>
        </w:rPr>
      </w:pPr>
      <w:r>
        <w:rPr>
          <w:rFonts w:ascii="Times New Roman" w:cs="Times New Roman" w:eastAsia="Times New Roman" w:hAnsi="Times New Roman"/>
          <w:sz w:val="17"/>
          <w:szCs w:val="17"/>
          <w:color w:val="auto"/>
        </w:rPr>
        <w:t>As of September 30, 2024, 227.2 million shares of Class A common stock, 79.1 million shares of Class B common stock, and no shares of Class C common stock were issued and outstanding. As of December 31, 2023, 256.0 million shares of Class A common stock, 80.7 million shares of Class B common stock, and no shares of Class C common stock were issued and outstanding. Class A shares issued and outstanding as of September 30, 2024 and December 31, 2023 exclude unvested restricted stock awards granted to certain executives. Class A shares issued and outstanding also exclude 8.3 million unvested restricted stock awards granted to one of the Company's co-founders as of September 30, 2024 and December 31, 2023, respectively. See "Co-Founder Grant" section below for further details.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53"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The Company's Board of Directors will have the authority, without further action by the Company's stockholders, to issue up to 240.0 million shares of undesignated preferred stock with rights and preferences, including voting rights, designated from time-to-time by the Board of Directors.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program</w:t>
      </w:r>
    </w:p>
    <w:p>
      <w:pPr>
        <w:spacing w:after="0" w:line="253"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In February 2022, the Board of Directors authorized the Company to repurchase up to $1.2 billion of the Company's outstanding shares of Class A common stock. In July 2023, the Board of Directors further authorized the repurchase of up to an additional $1.2 billion of the outstanding shares of our Class A common stock. The Company completed the February 2022 authorization of $1.2 billion during the three months ended March 31, 2024 and continued stock repurchases under the July 2023 authorization. 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spacing w:after="0" w:line="200"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7"/>
          <w:szCs w:val="17"/>
          <w:color w:val="auto"/>
        </w:rPr>
        <w:t>During the three and nine months ended September 30, 2024, the Company repurchased and subsequently retired 14.6 million and 37.0 million shares of its Class A common stock, respectively, for an aggregate amount of $351.8 million and $895.6 million, respectively. During the three and nine months ended September 30, 2023, the Company repurchased and subsequently retired 3.8 million and 18.8 million shares of its Class A common stock, respectively, for an aggregate amount of $104.4 million and $436.1 million, respectively. During the three and nine months ended September 30, 2024 and 2023, the 1% excise tax imposed as part of the Inflation Reduction Act is included in the cost of treasury stock acquired pursuant to common share repurchases.</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plans</w:t>
      </w:r>
    </w:p>
    <w:p>
      <w:pPr>
        <w:spacing w:after="0" w:line="253" w:lineRule="exact"/>
        <w:rPr>
          <w:sz w:val="20"/>
          <w:szCs w:val="20"/>
          <w:color w:val="auto"/>
        </w:rPr>
      </w:pPr>
    </w:p>
    <w:p>
      <w:pPr>
        <w:ind w:right="200" w:firstLine="392"/>
        <w:spacing w:after="0" w:line="269" w:lineRule="auto"/>
        <w:rPr>
          <w:sz w:val="20"/>
          <w:szCs w:val="20"/>
          <w:color w:val="auto"/>
        </w:rPr>
      </w:pPr>
      <w:r>
        <w:rPr>
          <w:rFonts w:ascii="Times New Roman" w:cs="Times New Roman" w:eastAsia="Times New Roman" w:hAnsi="Times New Roman"/>
          <w:sz w:val="17"/>
          <w:szCs w:val="17"/>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17"/>
          <w:szCs w:val="17"/>
          <w:color w:val="auto"/>
        </w:rPr>
        <w:t>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42"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In connection with the acquisition of DocSend, the Company assumed unvested stock options and an immaterial number of unvested RSUs that had been granted under DocSend's 2013 Stock Plan and DocSend's 2015 Stock Option and Grant Plan.</w:t>
      </w:r>
    </w:p>
    <w:p>
      <w:pPr>
        <w:spacing w:after="0" w:line="173" w:lineRule="exact"/>
        <w:rPr>
          <w:sz w:val="20"/>
          <w:szCs w:val="20"/>
          <w:color w:val="auto"/>
        </w:rPr>
      </w:pPr>
    </w:p>
    <w:p>
      <w:pPr>
        <w:jc w:val="both"/>
        <w:ind w:right="280" w:firstLine="392"/>
        <w:spacing w:after="0" w:line="276" w:lineRule="auto"/>
        <w:rPr>
          <w:sz w:val="20"/>
          <w:szCs w:val="20"/>
          <w:color w:val="auto"/>
        </w:rPr>
      </w:pPr>
      <w:r>
        <w:rPr>
          <w:rFonts w:ascii="Times New Roman" w:cs="Times New Roman" w:eastAsia="Times New Roman" w:hAnsi="Times New Roman"/>
          <w:sz w:val="17"/>
          <w:szCs w:val="17"/>
          <w:color w:val="auto"/>
        </w:rPr>
        <w:t>As of September 30, 2024, there were 34.2 million stock-based awards issued and outstanding and 116.6 million shares available for issuance under the Dropbox Equity Incentive Plans, Dropbox Sign's 2011 Equity Incentive Plan, DocSend's 2013 Stock Plan and DocSend's 2015 Stock Option and Grant Plan (collectively, the "Plans").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Stock option and restricted stock activity for the Plans was as follows for the nine months ended September 30, 2024:</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right="280"/>
        <w:spacing w:after="0" w:line="312" w:lineRule="auto"/>
        <w:rPr>
          <w:sz w:val="20"/>
          <w:szCs w:val="20"/>
          <w:color w:val="auto"/>
        </w:rPr>
      </w:pPr>
      <w:r>
        <w:rPr>
          <w:rFonts w:ascii="Times New Roman" w:cs="Times New Roman" w:eastAsia="Times New Roman" w:hAnsi="Times New Roman"/>
          <w:sz w:val="17"/>
          <w:szCs w:val="17"/>
          <w:color w:val="auto"/>
        </w:rPr>
        <w:t>Balance at December 31, 2023 Additional shares authorized</w:t>
      </w:r>
    </w:p>
    <w:p>
      <w:pPr>
        <w:spacing w:after="0" w:line="1" w:lineRule="exact"/>
        <w:rPr>
          <w:sz w:val="20"/>
          <w:szCs w:val="20"/>
          <w:color w:val="auto"/>
        </w:rPr>
      </w:pPr>
    </w:p>
    <w:p>
      <w:pPr>
        <w:ind w:left="20" w:right="180"/>
        <w:spacing w:after="0" w:line="247" w:lineRule="auto"/>
        <w:rPr>
          <w:sz w:val="20"/>
          <w:szCs w:val="20"/>
          <w:color w:val="auto"/>
        </w:rPr>
      </w:pPr>
      <w:r>
        <w:rPr>
          <w:rFonts w:ascii="Times New Roman" w:cs="Times New Roman" w:eastAsia="Times New Roman" w:hAnsi="Times New Roman"/>
          <w:sz w:val="17"/>
          <w:szCs w:val="17"/>
          <w:color w:val="auto"/>
        </w:rPr>
        <w:t>Options exercised and restricted stock units and awards released</w:t>
      </w:r>
    </w:p>
    <w:p>
      <w:pPr>
        <w:spacing w:after="0" w:line="3" w:lineRule="exact"/>
        <w:rPr>
          <w:sz w:val="20"/>
          <w:szCs w:val="20"/>
          <w:color w:val="auto"/>
        </w:rPr>
      </w:pPr>
    </w:p>
    <w:p>
      <w:pPr>
        <w:ind w:left="20" w:right="80"/>
        <w:spacing w:after="0" w:line="247" w:lineRule="auto"/>
        <w:rPr>
          <w:sz w:val="20"/>
          <w:szCs w:val="20"/>
          <w:color w:val="auto"/>
        </w:rPr>
      </w:pPr>
      <w:r>
        <w:rPr>
          <w:rFonts w:ascii="Times New Roman" w:cs="Times New Roman" w:eastAsia="Times New Roman" w:hAnsi="Times New Roman"/>
          <w:sz w:val="17"/>
          <w:szCs w:val="17"/>
          <w:color w:val="auto"/>
        </w:rPr>
        <w:t>Options and restricted stock units and awards canceled</w:t>
      </w:r>
    </w:p>
    <w:p>
      <w:pPr>
        <w:spacing w:after="0" w:line="3" w:lineRule="exact"/>
        <w:rPr>
          <w:sz w:val="20"/>
          <w:szCs w:val="20"/>
          <w:color w:val="auto"/>
        </w:rPr>
      </w:pPr>
    </w:p>
    <w:p>
      <w:pPr>
        <w:ind w:left="20"/>
        <w:spacing w:after="0" w:line="228" w:lineRule="auto"/>
        <w:rPr>
          <w:sz w:val="20"/>
          <w:szCs w:val="20"/>
          <w:color w:val="auto"/>
        </w:rPr>
      </w:pPr>
      <w:r>
        <w:rPr>
          <w:rFonts w:ascii="Times New Roman" w:cs="Times New Roman" w:eastAsia="Times New Roman" w:hAnsi="Times New Roman"/>
          <w:sz w:val="17"/>
          <w:szCs w:val="17"/>
          <w:color w:val="auto"/>
        </w:rPr>
        <w:t>Shares withheld related to net share settlement of restricted stock</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units and awards</w:t>
      </w:r>
    </w:p>
    <w:p>
      <w:pPr>
        <w:spacing w:after="0" w:line="12" w:lineRule="exact"/>
        <w:rPr>
          <w:sz w:val="20"/>
          <w:szCs w:val="20"/>
          <w:color w:val="auto"/>
        </w:rPr>
      </w:pPr>
    </w:p>
    <w:p>
      <w:pPr>
        <w:ind w:left="20" w:right="80"/>
        <w:spacing w:after="0" w:line="241" w:lineRule="auto"/>
        <w:rPr>
          <w:sz w:val="20"/>
          <w:szCs w:val="20"/>
          <w:color w:val="auto"/>
        </w:rPr>
      </w:pPr>
      <w:r>
        <w:rPr>
          <w:rFonts w:ascii="Times New Roman" w:cs="Times New Roman" w:eastAsia="Times New Roman" w:hAnsi="Times New Roman"/>
          <w:sz w:val="17"/>
          <w:szCs w:val="17"/>
          <w:color w:val="auto"/>
        </w:rPr>
        <w:t>Options and restricted stock units and awards granted</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Options outstanding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Restricted stock</w:t>
            </w: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0" w:type="dxa"/>
            <w:vAlign w:val="bottom"/>
          </w:tcPr>
          <w:p>
            <w:pPr>
              <w:spacing w:after="0"/>
              <w:rPr>
                <w:sz w:val="1"/>
                <w:szCs w:val="1"/>
                <w:color w:val="auto"/>
              </w:rPr>
            </w:pPr>
          </w:p>
        </w:tc>
      </w:tr>
      <w:tr>
        <w:trPr>
          <w:trHeight w:val="163"/>
        </w:trPr>
        <w:tc>
          <w:tcPr>
            <w:tcW w:w="1360" w:type="dxa"/>
            <w:vAlign w:val="bottom"/>
            <w:gridSpan w:val="2"/>
          </w:tcPr>
          <w:p>
            <w:pPr>
              <w:jc w:val="center"/>
              <w:ind w:right="120"/>
              <w:spacing w:after="0" w:line="163" w:lineRule="exact"/>
              <w:rPr>
                <w:sz w:val="20"/>
                <w:szCs w:val="20"/>
                <w:color w:val="auto"/>
              </w:rPr>
            </w:pPr>
            <w:r>
              <w:rPr>
                <w:rFonts w:ascii="Times New Roman" w:cs="Times New Roman" w:eastAsia="Times New Roman" w:hAnsi="Times New Roman"/>
                <w:sz w:val="17"/>
                <w:szCs w:val="17"/>
                <w:color w:val="auto"/>
              </w:rPr>
              <w:t>Number of</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auto"/>
              </w:rPr>
              <w:t>Weighted-</w:t>
            </w:r>
          </w:p>
        </w:tc>
        <w:tc>
          <w:tcPr>
            <w:tcW w:w="1240" w:type="dxa"/>
            <w:vAlign w:val="bottom"/>
            <w:gridSpan w:val="2"/>
          </w:tcPr>
          <w:p>
            <w:pPr>
              <w:jc w:val="center"/>
              <w:ind w:right="120"/>
              <w:spacing w:after="0" w:line="163" w:lineRule="exact"/>
              <w:rPr>
                <w:sz w:val="20"/>
                <w:szCs w:val="20"/>
                <w:color w:val="auto"/>
              </w:rPr>
            </w:pPr>
            <w:r>
              <w:rPr>
                <w:rFonts w:ascii="Times New Roman" w:cs="Times New Roman" w:eastAsia="Times New Roman" w:hAnsi="Times New Roman"/>
                <w:sz w:val="17"/>
                <w:szCs w:val="17"/>
                <w:color w:val="auto"/>
              </w:rPr>
              <w:t>Weighted-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73"/>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70"/>
        </w:trPr>
        <w:tc>
          <w:tcPr>
            <w:tcW w:w="136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w w:val="98"/>
              </w:rPr>
              <w:t>shares</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36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7"/>
                <w:szCs w:val="17"/>
                <w:color w:val="auto"/>
              </w:rPr>
              <w:t>available for</w:t>
            </w:r>
          </w:p>
        </w:tc>
        <w:tc>
          <w:tcPr>
            <w:tcW w:w="114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w w:val="98"/>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83" w:lineRule="exact"/>
              <w:rPr>
                <w:sz w:val="20"/>
                <w:szCs w:val="20"/>
                <w:color w:val="auto"/>
              </w:rPr>
            </w:pPr>
            <w:r>
              <w:rPr>
                <w:rFonts w:ascii="Times New Roman" w:cs="Times New Roman" w:eastAsia="Times New Roman" w:hAnsi="Times New Roman"/>
                <w:sz w:val="17"/>
                <w:szCs w:val="17"/>
                <w:color w:val="auto"/>
              </w:rPr>
              <w:t>average</w:t>
            </w:r>
          </w:p>
        </w:tc>
        <w:tc>
          <w:tcPr>
            <w:tcW w:w="124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7"/>
                <w:szCs w:val="17"/>
                <w:color w:val="auto"/>
              </w:rPr>
              <w:t>remaining</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53"/>
              <w:spacing w:after="0" w:line="183" w:lineRule="exact"/>
              <w:rPr>
                <w:sz w:val="20"/>
                <w:szCs w:val="20"/>
                <w:color w:val="auto"/>
              </w:rPr>
            </w:pPr>
            <w:r>
              <w:rPr>
                <w:rFonts w:ascii="Times New Roman" w:cs="Times New Roman" w:eastAsia="Times New Roman" w:hAnsi="Times New Roman"/>
                <w:sz w:val="17"/>
                <w:szCs w:val="17"/>
                <w:color w:val="auto"/>
              </w:rPr>
              <w:t>average</w:t>
            </w:r>
          </w:p>
        </w:tc>
        <w:tc>
          <w:tcPr>
            <w:tcW w:w="0" w:type="dxa"/>
            <w:vAlign w:val="bottom"/>
          </w:tcPr>
          <w:p>
            <w:pPr>
              <w:spacing w:after="0"/>
              <w:rPr>
                <w:sz w:val="1"/>
                <w:szCs w:val="1"/>
                <w:color w:val="auto"/>
              </w:rPr>
            </w:pPr>
          </w:p>
        </w:tc>
      </w:tr>
      <w:tr>
        <w:trPr>
          <w:trHeight w:val="170"/>
        </w:trPr>
        <w:tc>
          <w:tcPr>
            <w:tcW w:w="136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issuance</w:t>
            </w:r>
          </w:p>
        </w:tc>
        <w:tc>
          <w:tcPr>
            <w:tcW w:w="114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7"/>
                <w:szCs w:val="17"/>
                <w:color w:val="auto"/>
              </w:rPr>
              <w:t>exercise</w:t>
            </w:r>
          </w:p>
        </w:tc>
        <w:tc>
          <w:tcPr>
            <w:tcW w:w="124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contractual</w:t>
            </w:r>
          </w:p>
        </w:tc>
        <w:tc>
          <w:tcPr>
            <w:tcW w:w="16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auto"/>
              </w:rPr>
              <w:t>Aggregate</w:t>
            </w:r>
          </w:p>
        </w:tc>
        <w:tc>
          <w:tcPr>
            <w:tcW w:w="11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3"/>
              <w:spacing w:after="0" w:line="170" w:lineRule="exact"/>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170"/>
        </w:trPr>
        <w:tc>
          <w:tcPr>
            <w:tcW w:w="136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under the</w:t>
            </w:r>
          </w:p>
        </w:tc>
        <w:tc>
          <w:tcPr>
            <w:tcW w:w="114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under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7"/>
                <w:szCs w:val="17"/>
                <w:color w:val="auto"/>
                <w:w w:val="99"/>
              </w:rPr>
              <w:t>price</w:t>
            </w:r>
          </w:p>
        </w:tc>
        <w:tc>
          <w:tcPr>
            <w:tcW w:w="124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color w:val="auto"/>
              </w:rPr>
              <w:t>term</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under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53"/>
              <w:spacing w:after="0" w:line="170" w:lineRule="exact"/>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35"/>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Plans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Plans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color w:val="auto"/>
              </w:rPr>
              <w:t>per share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years)</w:t>
            </w: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intrinsic value</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Plans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color w:val="auto"/>
              </w:rPr>
              <w:t>per share</w:t>
            </w:r>
          </w:p>
        </w:tc>
        <w:tc>
          <w:tcPr>
            <w:tcW w:w="0" w:type="dxa"/>
            <w:vAlign w:val="bottom"/>
          </w:tcPr>
          <w:p>
            <w:pPr>
              <w:spacing w:after="0"/>
              <w:rPr>
                <w:sz w:val="1"/>
                <w:szCs w:val="1"/>
                <w:color w:val="auto"/>
              </w:rPr>
            </w:pPr>
          </w:p>
        </w:tc>
      </w:tr>
      <w:tr>
        <w:trPr>
          <w:trHeight w:val="215"/>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10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line="20" w:lineRule="exact"/>
              <w:rPr>
                <w:sz w:val="1"/>
                <w:szCs w:val="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219"/>
        </w:trPr>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23.54</w:t>
            </w:r>
          </w:p>
        </w:tc>
        <w:tc>
          <w:tcPr>
            <w:tcW w:w="0" w:type="dxa"/>
            <w:vAlign w:val="bottom"/>
          </w:tcPr>
          <w:p>
            <w:pPr>
              <w:spacing w:after="0"/>
              <w:rPr>
                <w:sz w:val="1"/>
                <w:szCs w:val="1"/>
                <w:color w:val="auto"/>
              </w:rPr>
            </w:pPr>
          </w:p>
        </w:tc>
      </w:tr>
      <w:tr>
        <w:trPr>
          <w:trHeight w:val="405"/>
        </w:trPr>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24.06</w:t>
            </w:r>
          </w:p>
        </w:tc>
        <w:tc>
          <w:tcPr>
            <w:tcW w:w="0" w:type="dxa"/>
            <w:vAlign w:val="bottom"/>
          </w:tcPr>
          <w:p>
            <w:pPr>
              <w:spacing w:after="0"/>
              <w:rPr>
                <w:sz w:val="1"/>
                <w:szCs w:val="1"/>
                <w:color w:val="auto"/>
              </w:rPr>
            </w:pPr>
          </w:p>
        </w:tc>
      </w:tr>
      <w:tr>
        <w:trPr>
          <w:trHeight w:val="575"/>
        </w:trPr>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3"/>
        </w:trPr>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-1458595</wp:posOffset>
            </wp:positionV>
            <wp:extent cx="7136765" cy="165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16573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-1134745</wp:posOffset>
            </wp:positionV>
            <wp:extent cx="7136765"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765" cy="25717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-620395</wp:posOffset>
            </wp:positionV>
            <wp:extent cx="7136765" cy="365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3651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40" w:space="40"/>
            <w:col w:w="876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500" w:type="dxa"/>
            <w:vAlign w:val="bottom"/>
            <w:tcBorders>
              <w:top w:val="single" w:sz="8" w:color="CCEEFF"/>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CCEEFF"/>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rPr>
              <w:t>13.62</w:t>
            </w:r>
          </w:p>
        </w:tc>
        <w:tc>
          <w:tcPr>
            <w:tcW w:w="8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3.5</w:t>
            </w:r>
          </w:p>
        </w:tc>
        <w:tc>
          <w:tcPr>
            <w:tcW w:w="540" w:type="dxa"/>
            <w:vAlign w:val="bottom"/>
            <w:tcBorders>
              <w:top w:val="single" w:sz="8" w:color="CCEEFF"/>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CCEEFF"/>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0.9</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500" w:type="dxa"/>
            <w:vAlign w:val="bottom"/>
            <w:tcBorders>
              <w:top w:val="single" w:sz="8" w:color="CCEEFF"/>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Vested at September 30, 2024</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48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0.2</w:t>
            </w:r>
          </w:p>
        </w:tc>
        <w:tc>
          <w:tcPr>
            <w:tcW w:w="500" w:type="dxa"/>
            <w:vAlign w:val="bottom"/>
          </w:tcPr>
          <w:p>
            <w:pPr>
              <w:jc w:val="right"/>
              <w:ind w:right="19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453"/>
              <w:spacing w:after="0" w:line="194" w:lineRule="exact"/>
              <w:rPr>
                <w:sz w:val="20"/>
                <w:szCs w:val="20"/>
                <w:color w:val="auto"/>
              </w:rPr>
            </w:pPr>
            <w:r>
              <w:rPr>
                <w:rFonts w:ascii="Times New Roman" w:cs="Times New Roman" w:eastAsia="Times New Roman" w:hAnsi="Times New Roman"/>
                <w:sz w:val="17"/>
                <w:szCs w:val="17"/>
                <w:color w:val="auto"/>
              </w:rPr>
              <w:t>13.62</w:t>
            </w:r>
          </w:p>
        </w:tc>
        <w:tc>
          <w:tcPr>
            <w:tcW w:w="820" w:type="dxa"/>
            <w:vAlign w:val="bottom"/>
          </w:tcPr>
          <w:p>
            <w:pPr>
              <w:ind w:left="540"/>
              <w:spacing w:after="0" w:line="194" w:lineRule="exact"/>
              <w:rPr>
                <w:sz w:val="20"/>
                <w:szCs w:val="20"/>
                <w:color w:val="auto"/>
              </w:rPr>
            </w:pPr>
            <w:r>
              <w:rPr>
                <w:rFonts w:ascii="Times New Roman" w:cs="Times New Roman" w:eastAsia="Times New Roman" w:hAnsi="Times New Roman"/>
                <w:sz w:val="17"/>
                <w:szCs w:val="17"/>
                <w:color w:val="auto"/>
              </w:rPr>
              <w:t>3.5</w:t>
            </w:r>
          </w:p>
        </w:tc>
        <w:tc>
          <w:tcPr>
            <w:tcW w:w="540" w:type="dxa"/>
            <w:vAlign w:val="bottom"/>
          </w:tcPr>
          <w:p>
            <w:pPr>
              <w:jc w:val="right"/>
              <w:ind w:right="293"/>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rPr>
              <w:t>0.9</w:t>
            </w:r>
          </w:p>
        </w:tc>
        <w:tc>
          <w:tcPr>
            <w:tcW w:w="11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213"/>
              <w:spacing w:after="0" w:line="194"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September 30, 2024</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180" w:firstLine="392"/>
        <w:spacing w:after="0" w:line="295" w:lineRule="auto"/>
        <w:rPr>
          <w:sz w:val="20"/>
          <w:szCs w:val="20"/>
          <w:color w:val="auto"/>
        </w:rPr>
      </w:pPr>
      <w:r>
        <w:rPr>
          <w:rFonts w:ascii="Times New Roman" w:cs="Times New Roman" w:eastAsia="Times New Roman" w:hAnsi="Times New Roman"/>
          <w:sz w:val="17"/>
          <w:szCs w:val="17"/>
          <w:color w:val="auto"/>
        </w:rPr>
        <w:t>The following table summarizes information about the pre-tax intrinsic value of options exercised during the three and nine months ended September 30, 2024 and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1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40" w:type="dxa"/>
            <w:vAlign w:val="bottom"/>
          </w:tcPr>
          <w:p>
            <w:pPr>
              <w:spacing w:after="0"/>
              <w:rPr>
                <w:sz w:val="16"/>
                <w:szCs w:val="16"/>
                <w:color w:val="auto"/>
              </w:rPr>
            </w:pPr>
          </w:p>
        </w:tc>
      </w:tr>
      <w:tr>
        <w:trPr>
          <w:trHeight w:val="232"/>
        </w:trPr>
        <w:tc>
          <w:tcPr>
            <w:tcW w:w="39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5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40" w:type="dxa"/>
            <w:vAlign w:val="bottom"/>
            <w:tcBorders>
              <w:bottom w:val="single" w:sz="8" w:color="auto"/>
            </w:tcBorders>
          </w:tcPr>
          <w:p>
            <w:pPr>
              <w:spacing w:after="0"/>
              <w:rPr>
                <w:sz w:val="20"/>
                <w:szCs w:val="20"/>
                <w:color w:val="auto"/>
              </w:rPr>
            </w:pPr>
          </w:p>
        </w:tc>
      </w:tr>
      <w:tr>
        <w:trPr>
          <w:trHeight w:val="218"/>
        </w:trPr>
        <w:tc>
          <w:tcPr>
            <w:tcW w:w="39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w w:val="93"/>
              </w:rPr>
              <w:t>2023</w:t>
            </w: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Intrinsic value of options exercised</w:t>
            </w: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bl>
    <w:p>
      <w:pPr>
        <w:spacing w:after="0" w:line="295" w:lineRule="exact"/>
        <w:rPr>
          <w:sz w:val="20"/>
          <w:szCs w:val="20"/>
          <w:color w:val="auto"/>
        </w:rPr>
      </w:pPr>
    </w:p>
    <w:p>
      <w:pPr>
        <w:ind w:right="240" w:firstLine="392"/>
        <w:spacing w:after="0" w:line="295" w:lineRule="auto"/>
        <w:rPr>
          <w:sz w:val="20"/>
          <w:szCs w:val="20"/>
          <w:color w:val="auto"/>
        </w:rPr>
      </w:pPr>
      <w:r>
        <w:rPr>
          <w:rFonts w:ascii="Times New Roman" w:cs="Times New Roman" w:eastAsia="Times New Roman" w:hAnsi="Times New Roman"/>
          <w:sz w:val="17"/>
          <w:szCs w:val="17"/>
          <w:color w:val="auto"/>
        </w:rPr>
        <w:t>As of September 30, 2024, unamortized stock-based compensation related to unvested stock options, restricted stock awards (excluding the Co-Founder Grant), and RSUs was $781.9 million. The weighted-average period over which such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expense will be recognized if the requisite service is provided is approximately 2.7 years as of September 30, 2024.</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Co-Founder Grant</w:t>
      </w:r>
    </w:p>
    <w:p>
      <w:pPr>
        <w:spacing w:after="0" w:line="120"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w:t>
      </w:r>
    </w:p>
    <w:p>
      <w:pPr>
        <w:spacing w:after="0" w:line="197" w:lineRule="exact"/>
        <w:rPr>
          <w:sz w:val="20"/>
          <w:szCs w:val="20"/>
          <w:color w:val="auto"/>
        </w:rPr>
      </w:pPr>
    </w:p>
    <w:p>
      <w:pPr>
        <w:jc w:val="both"/>
        <w:ind w:right="80" w:firstLine="392"/>
        <w:spacing w:after="0" w:line="269" w:lineRule="auto"/>
        <w:rPr>
          <w:sz w:val="20"/>
          <w:szCs w:val="20"/>
          <w:color w:val="auto"/>
        </w:rPr>
      </w:pPr>
      <w:r>
        <w:rPr>
          <w:rFonts w:ascii="Times New Roman" w:cs="Times New Roman" w:eastAsia="Times New Roman" w:hAnsi="Times New Roman"/>
          <w:sz w:val="17"/>
          <w:szCs w:val="17"/>
          <w:color w:val="auto"/>
        </w:rPr>
        <w:t>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195" w:lineRule="exact"/>
        <w:rPr>
          <w:sz w:val="20"/>
          <w:szCs w:val="20"/>
          <w:color w:val="auto"/>
        </w:rPr>
      </w:pPr>
    </w:p>
    <w:p>
      <w:pPr>
        <w:ind w:right="280" w:firstLine="392"/>
        <w:spacing w:after="0" w:line="295" w:lineRule="auto"/>
        <w:rPr>
          <w:sz w:val="20"/>
          <w:szCs w:val="20"/>
          <w:color w:val="auto"/>
        </w:rPr>
      </w:pPr>
      <w:r>
        <w:rPr>
          <w:rFonts w:ascii="Times New Roman" w:cs="Times New Roman" w:eastAsia="Times New Roman" w:hAnsi="Times New Roman"/>
          <w:sz w:val="17"/>
          <w:szCs w:val="17"/>
          <w:color w:val="auto"/>
        </w:rPr>
        <w:t>During the first four years of the Performance Period, no more than 20% of the shares subject to the Co-Founder Grant would be eligible to vest in any calendar year. After the first four years, all shares are eligible to vest based on the achievement of the Stock Price Targets.</w:t>
      </w:r>
    </w:p>
    <w:p>
      <w:pPr>
        <w:spacing w:after="0" w:line="173"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The first tranche of the Co-Founder Grant, or 2.1 million shares of Class A common stock, vested in the fourth quarter of 2021. The stock-based compensation expense for Mr. Houston's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w:t>
      </w:r>
    </w:p>
    <w:p>
      <w:pPr>
        <w:spacing w:after="0" w:line="195" w:lineRule="exact"/>
        <w:rPr>
          <w:sz w:val="20"/>
          <w:szCs w:val="20"/>
          <w:color w:val="auto"/>
        </w:rPr>
      </w:pPr>
    </w:p>
    <w:p>
      <w:pPr>
        <w:ind w:right="180" w:firstLine="392"/>
        <w:spacing w:after="0" w:line="276" w:lineRule="auto"/>
        <w:rPr>
          <w:sz w:val="20"/>
          <w:szCs w:val="20"/>
          <w:color w:val="auto"/>
        </w:rPr>
      </w:pPr>
      <w:r>
        <w:rPr>
          <w:rFonts w:ascii="Times New Roman" w:cs="Times New Roman" w:eastAsia="Times New Roman" w:hAnsi="Times New Roman"/>
          <w:sz w:val="17"/>
          <w:szCs w:val="17"/>
          <w:color w:val="auto"/>
        </w:rPr>
        <w:t>The Company recognized stock-based compensation expense related to the Co-Founder Grant of $0.4 million and $2.3 million during the three and nine months ended September 30, 2024, respectively, and $1.5 and $5.7 during the three and nine months ended September 30, 2023, respectively. As of September 30, 2024, unamortized stock-based compensation expense related to the Co-Founder Grant was $0.1 million.</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Net Income Per Share</w:t>
      </w:r>
    </w:p>
    <w:p>
      <w:pPr>
        <w:spacing w:after="0" w:line="251"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88" w:lineRule="exact"/>
        <w:rPr>
          <w:sz w:val="20"/>
          <w:szCs w:val="20"/>
          <w:color w:val="auto"/>
        </w:rPr>
      </w:pPr>
    </w:p>
    <w:p>
      <w:pPr>
        <w:ind w:right="340" w:firstLine="392"/>
        <w:spacing w:after="0" w:line="295" w:lineRule="auto"/>
        <w:rPr>
          <w:sz w:val="20"/>
          <w:szCs w:val="20"/>
          <w:color w:val="auto"/>
        </w:rPr>
      </w:pPr>
      <w:r>
        <w:rPr>
          <w:rFonts w:ascii="Times New Roman" w:cs="Times New Roman" w:eastAsia="Times New Roman" w:hAnsi="Times New Roman"/>
          <w:sz w:val="17"/>
          <w:szCs w:val="17"/>
          <w:color w:val="auto"/>
        </w:rPr>
        <w:t>Basic net income per share is computed by dividing net income attributable to common stockholders by the weighted-average number of shares of the Class A and Class B common stock outstanding.</w:t>
      </w:r>
    </w:p>
    <w:p>
      <w:pPr>
        <w:spacing w:after="0" w:line="173" w:lineRule="exact"/>
        <w:rPr>
          <w:sz w:val="20"/>
          <w:szCs w:val="20"/>
          <w:color w:val="auto"/>
        </w:rPr>
      </w:pPr>
    </w:p>
    <w:p>
      <w:pPr>
        <w:ind w:right="140" w:firstLine="392"/>
        <w:spacing w:after="0" w:line="266" w:lineRule="auto"/>
        <w:rPr>
          <w:sz w:val="20"/>
          <w:szCs w:val="20"/>
          <w:color w:val="auto"/>
        </w:rPr>
      </w:pPr>
      <w:r>
        <w:rPr>
          <w:rFonts w:ascii="Times New Roman" w:cs="Times New Roman" w:eastAsia="Times New Roman" w:hAnsi="Times New Roman"/>
          <w:sz w:val="17"/>
          <w:szCs w:val="17"/>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numerators and denominators of the basic and diluted EPS computations for the Company's common stock are calculated as follows (in millions, except for per share amounts):</w:t>
      </w:r>
    </w:p>
    <w:p>
      <w:pPr>
        <w:spacing w:after="0" w:line="206"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536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Class A</w:t>
            </w:r>
          </w:p>
        </w:tc>
        <w:tc>
          <w:tcPr>
            <w:tcW w:w="26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Class B</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Class A</w:t>
            </w:r>
          </w:p>
        </w:tc>
        <w:tc>
          <w:tcPr>
            <w:tcW w:w="280" w:type="dxa"/>
            <w:vAlign w:val="bottom"/>
          </w:tcPr>
          <w:p>
            <w:pPr>
              <w:spacing w:after="0"/>
              <w:rPr>
                <w:sz w:val="18"/>
                <w:szCs w:val="18"/>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Class B</w:t>
            </w:r>
          </w:p>
        </w:tc>
        <w:tc>
          <w:tcPr>
            <w:tcW w:w="0" w:type="dxa"/>
            <w:vAlign w:val="bottom"/>
          </w:tcPr>
          <w:p>
            <w:pPr>
              <w:spacing w:after="0"/>
              <w:rPr>
                <w:sz w:val="1"/>
                <w:szCs w:val="1"/>
                <w:color w:val="auto"/>
              </w:rPr>
            </w:pPr>
          </w:p>
        </w:tc>
      </w:tr>
      <w:tr>
        <w:trPr>
          <w:trHeight w:val="202"/>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1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1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per common share, basic</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0.34</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0.34</w:t>
            </w:r>
          </w:p>
        </w:tc>
        <w:tc>
          <w:tcPr>
            <w:tcW w:w="100" w:type="dxa"/>
            <w:vAlign w:val="bottom"/>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0.34</w:t>
            </w:r>
          </w:p>
        </w:tc>
        <w:tc>
          <w:tcPr>
            <w:tcW w:w="10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0.34</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 per share: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Reallocation of net income as a result of conversion of Class B to Class A</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Reallocation of net income to Class B common stock</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 for diluted EPS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106.7</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114.1</w:t>
            </w:r>
          </w:p>
        </w:tc>
        <w:tc>
          <w:tcPr>
            <w:tcW w:w="10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effect of dilutive restricted stock units and awards and</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employee stock options</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Conversion of Class B to Class A common stock</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3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5"/>
                <w:szCs w:val="15"/>
                <w:color w:val="auto"/>
              </w:rPr>
              <w:t>Weighted-average number of common shares outstanding used in</w:t>
            </w:r>
          </w:p>
        </w:tc>
        <w:tc>
          <w:tcPr>
            <w:tcW w:w="12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diluted net income per share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per common share, 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0.34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0.34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0.33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0.33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973"/>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jc w:val="center"/>
        <w:ind w:left="536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Class A</w:t>
            </w:r>
          </w:p>
        </w:tc>
        <w:tc>
          <w:tcPr>
            <w:tcW w:w="26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Class B</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Class A</w:t>
            </w:r>
          </w:p>
        </w:tc>
        <w:tc>
          <w:tcPr>
            <w:tcW w:w="280" w:type="dxa"/>
            <w:vAlign w:val="bottom"/>
          </w:tcPr>
          <w:p>
            <w:pPr>
              <w:spacing w:after="0"/>
              <w:rPr>
                <w:sz w:val="18"/>
                <w:szCs w:val="18"/>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Class B</w:t>
            </w:r>
          </w:p>
        </w:tc>
        <w:tc>
          <w:tcPr>
            <w:tcW w:w="0" w:type="dxa"/>
            <w:vAlign w:val="bottom"/>
          </w:tcPr>
          <w:p>
            <w:pPr>
              <w:spacing w:after="0"/>
              <w:rPr>
                <w:sz w:val="1"/>
                <w:szCs w:val="1"/>
                <w:color w:val="auto"/>
              </w:rPr>
            </w:pPr>
          </w:p>
        </w:tc>
      </w:tr>
      <w:tr>
        <w:trPr>
          <w:trHeight w:val="202"/>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per common share, basic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0.66</w:t>
            </w:r>
          </w:p>
        </w:tc>
        <w:tc>
          <w:tcPr>
            <w:tcW w:w="10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0.66</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 per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Reallocation of net income as a result of conversion of Class B to Class A</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Reallocation of net income to Class B common stock</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 for diluted EPS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349.5</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85.5</w:t>
            </w:r>
          </w:p>
        </w:tc>
        <w:tc>
          <w:tcPr>
            <w:tcW w:w="100" w:type="dxa"/>
            <w:vAlign w:val="bottom"/>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226.3</w:t>
            </w:r>
          </w:p>
        </w:tc>
        <w:tc>
          <w:tcPr>
            <w:tcW w:w="10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effect of dilutive restricted stock units and awards and</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employee stock options</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Conversion of Class B to Class A common stock</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3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5"/>
                <w:szCs w:val="15"/>
                <w:color w:val="auto"/>
              </w:rPr>
              <w:t>Weighted-average number of common shares outstanding used in</w:t>
            </w:r>
          </w:p>
        </w:tc>
        <w:tc>
          <w:tcPr>
            <w:tcW w:w="2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diluted net income per share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per common share,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0.65</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0.65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weighted-average impact of potentially dilutive securities that were not included in the diluted per share calculations because they would be anti-dilutive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3040" w:type="dxa"/>
            <w:vAlign w:val="bottom"/>
            <w:gridSpan w:val="4"/>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4"/>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540" w:type="dxa"/>
            <w:vAlign w:val="bottom"/>
          </w:tcPr>
          <w:p>
            <w:pPr>
              <w:spacing w:after="0"/>
              <w:rPr>
                <w:sz w:val="16"/>
                <w:szCs w:val="16"/>
                <w:color w:val="auto"/>
              </w:rPr>
            </w:pPr>
          </w:p>
        </w:tc>
      </w:tr>
      <w:tr>
        <w:trPr>
          <w:trHeight w:val="232"/>
        </w:trPr>
        <w:tc>
          <w:tcPr>
            <w:tcW w:w="40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40" w:type="dxa"/>
            <w:vAlign w:val="bottom"/>
            <w:tcBorders>
              <w:bottom w:val="single" w:sz="8" w:color="auto"/>
            </w:tcBorders>
          </w:tcPr>
          <w:p>
            <w:pPr>
              <w:spacing w:after="0"/>
              <w:rPr>
                <w:sz w:val="20"/>
                <w:szCs w:val="20"/>
                <w:color w:val="auto"/>
              </w:rPr>
            </w:pPr>
          </w:p>
        </w:tc>
      </w:tr>
      <w:tr>
        <w:trPr>
          <w:trHeight w:val="218"/>
        </w:trPr>
        <w:tc>
          <w:tcPr>
            <w:tcW w:w="400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Pr>
          <w:p>
            <w:pPr>
              <w:spacing w:after="0"/>
              <w:rPr>
                <w:sz w:val="18"/>
                <w:szCs w:val="18"/>
                <w:color w:val="auto"/>
              </w:rPr>
            </w:pPr>
          </w:p>
        </w:tc>
      </w:tr>
      <w:tr>
        <w:trPr>
          <w:trHeight w:val="215"/>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and awards</w:t>
            </w: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Options to purchase shares of common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80" w:type="dxa"/>
            <w:vAlign w:val="bottom"/>
            <w:gridSpan w:val="3"/>
          </w:tcPr>
          <w:p>
            <w:pPr>
              <w:jc w:val="right"/>
              <w:ind w:right="1213"/>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gridSpan w:val="3"/>
          </w:tcPr>
          <w:p>
            <w:pPr>
              <w:jc w:val="right"/>
              <w:ind w:right="13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Co-Founder Grant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22"/>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15"/>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80" w:type="dxa"/>
            <w:vAlign w:val="bottom"/>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w:t>
            </w: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Income Taxes</w:t>
      </w:r>
    </w:p>
    <w:p>
      <w:pPr>
        <w:spacing w:after="0" w:line="251" w:lineRule="exact"/>
        <w:rPr>
          <w:sz w:val="20"/>
          <w:szCs w:val="20"/>
          <w:color w:val="auto"/>
        </w:rPr>
      </w:pPr>
    </w:p>
    <w:p>
      <w:pPr>
        <w:ind w:right="140" w:firstLine="392"/>
        <w:spacing w:after="0" w:line="276" w:lineRule="auto"/>
        <w:rPr>
          <w:sz w:val="20"/>
          <w:szCs w:val="20"/>
          <w:color w:val="auto"/>
        </w:rPr>
      </w:pPr>
      <w:r>
        <w:rPr>
          <w:rFonts w:ascii="Times New Roman" w:cs="Times New Roman" w:eastAsia="Times New Roman" w:hAnsi="Times New Roman"/>
          <w:sz w:val="17"/>
          <w:szCs w:val="17"/>
          <w:color w:val="auto"/>
        </w:rPr>
        <w:t>The Company computed the year-to-date income tax provision by applying the estimated annual effective tax rate to the year-to-date pre-tax income and adjusting for discrete tax items in the period. The Company's provision for income taxes was $26.0 million and $67.9 million for the three and nine months ended September 30, 2024, respectively, and $21.4 million and $55.8 million for the three and nine months ended September 30, 2023, respectively.</w:t>
      </w:r>
    </w:p>
    <w:p>
      <w:pPr>
        <w:spacing w:after="0" w:line="188" w:lineRule="exact"/>
        <w:rPr>
          <w:sz w:val="20"/>
          <w:szCs w:val="20"/>
          <w:color w:val="auto"/>
        </w:rPr>
      </w:pPr>
    </w:p>
    <w:p>
      <w:pPr>
        <w:ind w:right="400" w:firstLine="392"/>
        <w:spacing w:after="0" w:line="295" w:lineRule="auto"/>
        <w:rPr>
          <w:sz w:val="20"/>
          <w:szCs w:val="20"/>
          <w:color w:val="auto"/>
        </w:rPr>
      </w:pPr>
      <w:r>
        <w:rPr>
          <w:rFonts w:ascii="Times New Roman" w:cs="Times New Roman" w:eastAsia="Times New Roman" w:hAnsi="Times New Roman"/>
          <w:sz w:val="17"/>
          <w:szCs w:val="17"/>
          <w:color w:val="auto"/>
        </w:rPr>
        <w:t>For the three and nine months ended September 30, 2024, and September 30, 2023, the difference between the U.S. statutory rate and the Company's effective tax rate was primarily due to jurisdictional mix of earnings, tax credits, and state income taxes.</w:t>
      </w:r>
    </w:p>
    <w:p>
      <w:pPr>
        <w:spacing w:after="0" w:line="173"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September 30, 2024, the Company continues to maintain valuation allowances against its deferred tax assets in certain states and one foreign jurisdiction.</w:t>
      </w:r>
    </w:p>
    <w:p>
      <w:pPr>
        <w:spacing w:after="0" w:line="195" w:lineRule="exact"/>
        <w:rPr>
          <w:sz w:val="20"/>
          <w:szCs w:val="20"/>
          <w:color w:val="auto"/>
        </w:rPr>
      </w:pPr>
    </w:p>
    <w:p>
      <w:pPr>
        <w:ind w:right="180" w:firstLine="392"/>
        <w:spacing w:after="0" w:line="295" w:lineRule="auto"/>
        <w:rPr>
          <w:sz w:val="20"/>
          <w:szCs w:val="20"/>
          <w:color w:val="auto"/>
        </w:rPr>
      </w:pPr>
      <w:r>
        <w:rPr>
          <w:rFonts w:ascii="Times New Roman" w:cs="Times New Roman" w:eastAsia="Times New Roman" w:hAnsi="Times New Roman"/>
          <w:sz w:val="17"/>
          <w:szCs w:val="17"/>
          <w:color w:val="auto"/>
        </w:rPr>
        <w:t>The Company is subject to income tax audits in the U.S. and foreign jurisdictions. The Company records liabilities related to uncertain tax positions and believes that it has provided adequate reserves for income tax uncertainties in all open tax years.</w:t>
      </w:r>
    </w:p>
    <w:p>
      <w:pPr>
        <w:spacing w:after="0" w:line="173" w:lineRule="exact"/>
        <w:rPr>
          <w:sz w:val="20"/>
          <w:szCs w:val="20"/>
          <w:color w:val="auto"/>
        </w:rPr>
      </w:pPr>
    </w:p>
    <w:p>
      <w:pPr>
        <w:ind w:right="200" w:firstLine="392"/>
        <w:spacing w:after="0" w:line="269" w:lineRule="auto"/>
        <w:rPr>
          <w:sz w:val="20"/>
          <w:szCs w:val="20"/>
          <w:color w:val="auto"/>
        </w:rPr>
      </w:pPr>
      <w:r>
        <w:rPr>
          <w:rFonts w:ascii="Times New Roman" w:cs="Times New Roman" w:eastAsia="Times New Roman" w:hAnsi="Times New Roman"/>
          <w:sz w:val="17"/>
          <w:szCs w:val="17"/>
          <w:color w:val="auto"/>
        </w:rPr>
        <w:t>Unrecognized tax benefits increased by $16.2 million during the nine months ended September 30, 2024. The increase was primarily driven by a gross increase in unrecognized tax benefits related to tax positions taken in the period of approximately $16.0 million, of which $12.0 million, if recognized, would affect the Company's effective tax rate and $4.0 million would result in adjustment to deferred tax assets with corresponding adjustments to the valuation allowance.</w:t>
      </w:r>
    </w:p>
    <w:p>
      <w:pPr>
        <w:spacing w:after="0" w:line="195" w:lineRule="exact"/>
        <w:rPr>
          <w:sz w:val="20"/>
          <w:szCs w:val="20"/>
          <w:color w:val="auto"/>
        </w:rPr>
      </w:pPr>
    </w:p>
    <w:p>
      <w:pPr>
        <w:jc w:val="both"/>
        <w:ind w:right="100" w:firstLine="392"/>
        <w:spacing w:after="0" w:line="276" w:lineRule="auto"/>
        <w:rPr>
          <w:sz w:val="20"/>
          <w:szCs w:val="20"/>
          <w:color w:val="auto"/>
        </w:rPr>
      </w:pPr>
      <w:r>
        <w:rPr>
          <w:rFonts w:ascii="Times New Roman" w:cs="Times New Roman" w:eastAsia="Times New Roman" w:hAnsi="Times New Roman"/>
          <w:sz w:val="17"/>
          <w:szCs w:val="17"/>
          <w:color w:val="auto"/>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188"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The Organization for Economic Cooperation and Development (“OECD”) and many countries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have begun to adopt these proposals. In December 2022, the Council of the European Union (“EU”) formally adopted the EU Minimum Tax Directive, which would require member states to adopt Pillar Two into their domestic law effective for fiscal years starting on or after December 31, 2023. Ireland and certain jurisdictions in which the Company operates have enacted legislation to implement Pillar Two. Other countries are actively considering changes to their tax laws to adopt certain parts of the OECD’s proposals. The enactment of Pillar Two legislation is not expected to have a material adverse effect on the Company's effective tax rate, financial position, results of operations, and cash flows. The Company will continue to monitor and reflect the impact of such legislative changes in future financial statements as appropriate.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15. Geographic Areas</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44"/>
        </w:trPr>
        <w:tc>
          <w:tcPr>
            <w:tcW w:w="7160" w:type="dxa"/>
            <w:vAlign w:val="bottom"/>
          </w:tcPr>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14"/>
        </w:trPr>
        <w:tc>
          <w:tcPr>
            <w:tcW w:w="71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following table sets forth long-lived assets by geographic area:</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84"/>
        </w:trPr>
        <w:tc>
          <w:tcPr>
            <w:tcW w:w="7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760" w:type="dxa"/>
            <w:vAlign w:val="bottom"/>
            <w:tcBorders>
              <w:bottom w:val="single" w:sz="8" w:color="auto"/>
            </w:tcBorders>
          </w:tcPr>
          <w:p>
            <w:pPr>
              <w:spacing w:after="0"/>
              <w:rPr>
                <w:sz w:val="24"/>
                <w:szCs w:val="24"/>
                <w:color w:val="auto"/>
              </w:rPr>
            </w:pPr>
          </w:p>
        </w:tc>
      </w:tr>
      <w:tr>
        <w:trPr>
          <w:trHeight w:val="215"/>
        </w:trPr>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220" w:type="dxa"/>
            <w:vAlign w:val="bottom"/>
          </w:tcPr>
          <w:p>
            <w:pPr>
              <w:spacing w:after="0"/>
              <w:rPr>
                <w:sz w:val="18"/>
                <w:szCs w:val="18"/>
                <w:color w:val="auto"/>
              </w:rPr>
            </w:pPr>
          </w:p>
        </w:tc>
        <w:tc>
          <w:tcPr>
            <w:tcW w:w="176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5"/>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302.4</w:t>
            </w:r>
          </w:p>
        </w:tc>
      </w:tr>
      <w:tr>
        <w:trPr>
          <w:trHeight w:val="222"/>
        </w:trPr>
        <w:tc>
          <w:tcPr>
            <w:tcW w:w="716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4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ind w:right="400" w:firstLine="5"/>
        <w:spacing w:after="0"/>
        <w:tabs>
          <w:tab w:leader="none" w:pos="16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No single country other than the United States had a property and equipment balance greater than 10% of total property and equipment, net, as of September 30, 2024 and December 31, 2023.</w:t>
      </w: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2"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Revenue by geography is generally based on the address of the customer as defined in the Company’s subscription agreement. The following table sets forth revenue by geographic area for the three and nine months ended September 30, 2024 and 2023.</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900" w:type="dxa"/>
            <w:vAlign w:val="bottom"/>
          </w:tcPr>
          <w:p>
            <w:pPr>
              <w:spacing w:after="0"/>
              <w:rPr>
                <w:sz w:val="17"/>
                <w:szCs w:val="17"/>
                <w:color w:val="auto"/>
              </w:rPr>
            </w:pPr>
          </w:p>
        </w:tc>
        <w:tc>
          <w:tcPr>
            <w:tcW w:w="3020" w:type="dxa"/>
            <w:vAlign w:val="bottom"/>
            <w:gridSpan w:val="4"/>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60" w:type="dxa"/>
            <w:vAlign w:val="bottom"/>
          </w:tcPr>
          <w:p>
            <w:pPr>
              <w:spacing w:after="0"/>
              <w:rPr>
                <w:sz w:val="17"/>
                <w:szCs w:val="17"/>
                <w:color w:val="auto"/>
              </w:rPr>
            </w:pPr>
          </w:p>
        </w:tc>
      </w:tr>
      <w:tr>
        <w:trPr>
          <w:trHeight w:val="229"/>
        </w:trPr>
        <w:tc>
          <w:tcPr>
            <w:tcW w:w="39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60" w:type="dxa"/>
            <w:vAlign w:val="bottom"/>
            <w:tcBorders>
              <w:bottom w:val="single" w:sz="8" w:color="auto"/>
            </w:tcBorders>
          </w:tcPr>
          <w:p>
            <w:pPr>
              <w:spacing w:after="0"/>
              <w:rPr>
                <w:sz w:val="19"/>
                <w:szCs w:val="19"/>
                <w:color w:val="auto"/>
              </w:rPr>
            </w:pPr>
          </w:p>
        </w:tc>
      </w:tr>
      <w:tr>
        <w:trPr>
          <w:trHeight w:val="215"/>
        </w:trPr>
        <w:tc>
          <w:tcPr>
            <w:tcW w:w="39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w w:val="93"/>
              </w:rPr>
              <w:t>2023</w:t>
            </w:r>
          </w:p>
        </w:tc>
      </w:tr>
      <w:tr>
        <w:trPr>
          <w:trHeight w:val="21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362.9</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1,058.4</w:t>
            </w:r>
          </w:p>
        </w:tc>
      </w:tr>
      <w:tr>
        <w:trPr>
          <w:trHeight w:val="222"/>
        </w:trPr>
        <w:tc>
          <w:tcPr>
            <w:tcW w:w="3900" w:type="dxa"/>
            <w:vAlign w:val="bottom"/>
            <w:tcBorders>
              <w:bottom w:val="single" w:sz="8" w:color="CCEEFF"/>
            </w:tcBorders>
          </w:tcPr>
          <w:p>
            <w:pPr>
              <w:spacing w:after="0" w:line="222"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275.9</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808.2</w:t>
            </w:r>
          </w:p>
        </w:tc>
      </w:tr>
      <w:tr>
        <w:trPr>
          <w:trHeight w:val="240"/>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638.8</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1,904.6</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ind w:right="780" w:firstLine="5"/>
        <w:spacing w:after="0"/>
        <w:tabs>
          <w:tab w:leader="none" w:pos="16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No single country outside of the United States accounted for more than 10% of total revenue during the three and nine months ended September 30, 2024 and 2023, respectively.</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Subsequent Events</w:t>
      </w:r>
    </w:p>
    <w:p>
      <w:pPr>
        <w:spacing w:after="0" w:line="251" w:lineRule="exact"/>
        <w:rPr>
          <w:sz w:val="20"/>
          <w:szCs w:val="20"/>
          <w:color w:val="auto"/>
        </w:rPr>
      </w:pPr>
    </w:p>
    <w:p>
      <w:pPr>
        <w:ind w:right="140" w:firstLine="392"/>
        <w:spacing w:after="0" w:line="262" w:lineRule="auto"/>
        <w:rPr>
          <w:sz w:val="20"/>
          <w:szCs w:val="20"/>
          <w:color w:val="auto"/>
        </w:rPr>
      </w:pPr>
      <w:r>
        <w:rPr>
          <w:rFonts w:ascii="Times New Roman" w:cs="Times New Roman" w:eastAsia="Times New Roman" w:hAnsi="Times New Roman"/>
          <w:sz w:val="17"/>
          <w:szCs w:val="17"/>
          <w:color w:val="auto"/>
        </w:rPr>
        <w:t>On October 30, 2024, the Company announced the Board of Directors approved a reduction of its global workforce by approximately 20% to streamline the Company’s team structure to better align with its long-term growth and profitability objectives. The Company estimates that it will make total cash expenditures of approximately $63 million to $68 million, primarily consisting of severance payments, employee benefits, and related costs. Severance payments include the pro rata amount of the fiscal year 2024 annual employee bonus through October 30, 2024, for which the Company has accrued compensation expense. The Company expects to recognize $47 million to $52 million of incremental expense in connection with the reduction in workforce. The Company expects substantially all of the incremental expense will be recognized and the majority of the cash expenditure will be paid in the fourth quarter of 2024, with the remainder to be recognized and paid in the first half of 2025. The estimated cash expenditures and incremental expenses are based on certain assumptions, including local law requirements in various jurisdictions, and actual amounts may differ materially from such estimates.</w:t>
      </w:r>
    </w:p>
    <w:p>
      <w:pPr>
        <w:spacing w:after="0" w:line="20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The Company may incur other incremental expenses or cash expenditures not currently contemplated due to unanticipated events that may occur as a result of or in connection with the implementation of the reduction in workforce.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49"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ind w:right="960" w:firstLine="392"/>
        <w:spacing w:after="0" w:line="295" w:lineRule="auto"/>
        <w:rPr>
          <w:sz w:val="20"/>
          <w:szCs w:val="20"/>
          <w:color w:val="auto"/>
        </w:rPr>
      </w:pPr>
      <w:r>
        <w:rPr>
          <w:rFonts w:ascii="Times New Roman" w:cs="Times New Roman" w:eastAsia="Times New Roman" w:hAnsi="Times New Roman"/>
          <w:sz w:val="17"/>
          <w:szCs w:val="17"/>
          <w:color w:val="auto"/>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spacing w:after="0" w:line="173"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spacing w:after="0" w:line="173"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By solving these universal problems, we’ve become invaluable to our users. The popularity of our platform allows us to scale efficiently. We’ve built a thriving global business with 18.24 million paying users.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Subscription Plans</w:t>
      </w:r>
    </w:p>
    <w:p>
      <w:pPr>
        <w:spacing w:after="0" w:line="120" w:lineRule="exact"/>
        <w:rPr>
          <w:sz w:val="20"/>
          <w:szCs w:val="20"/>
          <w:color w:val="auto"/>
        </w:rPr>
      </w:pPr>
    </w:p>
    <w:p>
      <w:pPr>
        <w:ind w:right="100" w:firstLine="392"/>
        <w:spacing w:after="0" w:line="262" w:lineRule="auto"/>
        <w:rPr>
          <w:sz w:val="20"/>
          <w:szCs w:val="20"/>
          <w:color w:val="auto"/>
        </w:rPr>
      </w:pPr>
      <w:r>
        <w:rPr>
          <w:rFonts w:ascii="Times New Roman" w:cs="Times New Roman" w:eastAsia="Times New Roman" w:hAnsi="Times New Roman"/>
          <w:sz w:val="17"/>
          <w:szCs w:val="17"/>
          <w:color w:val="auto"/>
        </w:rPr>
        <w:t>We generate revenue from individuals, families, teams, and organizations by selling subscriptions to our platform, which serve the varying needs of our diverse customer base. Subscribers can purchase individual licenses through our Plus, Professional or Essentials plan, or purchase multiple licenses through our Family plan or our Standard, Advanced, Business, Business Plus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01"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Our premium subscription plans, such as Professional and Advanced, provide more functionality than our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95"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Our bundle subscription plans, such as Dropbox Essentials for solo professionals, Dropbox Business for small teams, and Dropbox Business Plus for larger teams, provide professionals and teams the ability to consolidate multiple offerings such as PDF editing, eSignature capabilities, document analytics, video collaboration tools, and advanced security functionality into a single place to manage their content.</w:t>
      </w:r>
    </w:p>
    <w:p>
      <w:pPr>
        <w:spacing w:after="0" w:line="188"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We offer FormSwift, our cloud-based service that gives individuals and businesses a simple solution to create, complete, edit, and save critical business forms and agreements. Customers can choose between annual or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w:t>
      </w:r>
    </w:p>
    <w:p>
      <w:pPr>
        <w:spacing w:after="0" w:line="195"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We also offer DocSend as our secure document sharing and analytics solution. DocSend offers paid subscription plans, including a personal plan designed for individuals and Standard, Advanced,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DocSend customers at the beginning of their respective terms and recognize revenue ratably over the subscription period. DocSend primarily sells within the United States, and the majority of sales are in U.S. dollars.</w:t>
      </w:r>
    </w:p>
    <w:p>
      <w:pPr>
        <w:spacing w:after="0" w:line="173"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We also offer Dropbox Sign, as our e-signature solution. Dropbox Sign has several product lines, and the pricing and revenue generated from each product line varies. Product lines are primarily priced based on the number of licenses purchased (similar to Dropbox plans), while some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We sell Dropbox Sign products globally and sell primarily in U.S. dollars.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Customers</w:t>
      </w:r>
    </w:p>
    <w:p>
      <w:pPr>
        <w:spacing w:after="0" w:line="120"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Model</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Drive new signups</w:t>
      </w:r>
    </w:p>
    <w:p>
      <w:pPr>
        <w:spacing w:after="0" w:line="253" w:lineRule="exact"/>
        <w:rPr>
          <w:sz w:val="20"/>
          <w:szCs w:val="20"/>
          <w:color w:val="auto"/>
        </w:rPr>
      </w:pPr>
    </w:p>
    <w:p>
      <w:pPr>
        <w:ind w:right="280" w:firstLine="392"/>
        <w:spacing w:after="0" w:line="276" w:lineRule="auto"/>
        <w:rPr>
          <w:sz w:val="20"/>
          <w:szCs w:val="20"/>
          <w:color w:val="auto"/>
        </w:rPr>
      </w:pPr>
      <w:r>
        <w:rPr>
          <w:rFonts w:ascii="Times New Roman" w:cs="Times New Roman" w:eastAsia="Times New Roman" w:hAnsi="Times New Roman"/>
          <w:sz w:val="17"/>
          <w:szCs w:val="17"/>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Increase conversion of registered users to our paid subscription plans</w:t>
      </w:r>
    </w:p>
    <w:p>
      <w:pPr>
        <w:spacing w:after="0" w:line="253"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We use these tactics in combination with the goal of generating increased recurring revenues from our existing user base.</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Upgrade and expand existing customers</w:t>
      </w:r>
    </w:p>
    <w:p>
      <w:pPr>
        <w:spacing w:after="0" w:line="253" w:lineRule="exact"/>
        <w:rPr>
          <w:sz w:val="20"/>
          <w:szCs w:val="20"/>
          <w:color w:val="auto"/>
        </w:rPr>
      </w:pPr>
    </w:p>
    <w:p>
      <w:pPr>
        <w:ind w:firstLine="392"/>
        <w:spacing w:after="0" w:line="265" w:lineRule="auto"/>
        <w:rPr>
          <w:sz w:val="20"/>
          <w:szCs w:val="20"/>
          <w:color w:val="auto"/>
        </w:rPr>
      </w:pPr>
      <w:r>
        <w:rPr>
          <w:rFonts w:ascii="Times New Roman" w:cs="Times New Roman" w:eastAsia="Times New Roman" w:hAnsi="Times New Roman"/>
          <w:sz w:val="17"/>
          <w:szCs w:val="17"/>
          <w:color w:val="auto"/>
        </w:rPr>
        <w:t>We offer a range of paid subscription plans, from Plus, Professional, Essentials and Family for individuals to Standard, Advanced, Business, Business Plus and Enterprise for teams. We analyze usage patterns within our network and run hundreds of targeted marketing campaigns to encourage paying users to upgrade their plans. We prompt individual subscribers who collaborate with others on Dropbox to purchase our Standard, Advanced or Business, and Business Plus plans for a better team experience, and we also encourage existing Dropbox Business teams to purchase additional licenses or to upgrade to premium subscription plans. We also aim to offer additional products that expand our content collaboration capabilities, such as Dropbox Sign, DocSend and FormSwift, each of which we acquired.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Virtual First</w:t>
      </w:r>
    </w:p>
    <w:p>
      <w:pPr>
        <w:spacing w:after="0" w:line="251" w:lineRule="exact"/>
        <w:rPr>
          <w:sz w:val="20"/>
          <w:szCs w:val="20"/>
          <w:color w:val="auto"/>
        </w:rPr>
      </w:pPr>
    </w:p>
    <w:p>
      <w:pPr>
        <w:ind w:right="60" w:firstLine="392"/>
        <w:spacing w:after="0" w:line="266" w:lineRule="auto"/>
        <w:rPr>
          <w:sz w:val="20"/>
          <w:szCs w:val="20"/>
          <w:color w:val="auto"/>
        </w:rPr>
      </w:pPr>
      <w:r>
        <w:rPr>
          <w:rFonts w:ascii="Times New Roman" w:cs="Times New Roman" w:eastAsia="Times New Roman" w:hAnsi="Times New Roman"/>
          <w:sz w:val="17"/>
          <w:szCs w:val="17"/>
          <w:color w:val="auto"/>
        </w:rPr>
        <w:t>In October 2020, we announced our Virtual First work model pursuant to which remote work has become the primary experience for all of our employees. As a result, we expect that our workforce will continue to become more distributed over time, although we are continuing to offer our employees opportunities for in-person collaboration in all locations we currently have offices, either through our existing real-estate that were repurposed into collaborative spaces called “Dropbox Studios” or new, flexible spaces known as “On-Demand Spaces”. Consistent with this strategy, we have retained a portion of our office space while the remainder is being or will be subleased.</w:t>
      </w:r>
    </w:p>
    <w:p>
      <w:pPr>
        <w:spacing w:after="0" w:line="197" w:lineRule="exact"/>
        <w:rPr>
          <w:sz w:val="20"/>
          <w:szCs w:val="20"/>
          <w:color w:val="auto"/>
        </w:rPr>
      </w:pPr>
    </w:p>
    <w:p>
      <w:pPr>
        <w:ind w:right="240" w:firstLine="392"/>
        <w:spacing w:after="0" w:line="269" w:lineRule="auto"/>
        <w:rPr>
          <w:sz w:val="20"/>
          <w:szCs w:val="20"/>
          <w:color w:val="auto"/>
        </w:rPr>
      </w:pPr>
      <w:r>
        <w:rPr>
          <w:rFonts w:ascii="Times New Roman" w:cs="Times New Roman" w:eastAsia="Times New Roman" w:hAnsi="Times New Roman"/>
          <w:sz w:val="17"/>
          <w:szCs w:val="17"/>
          <w:color w:val="auto"/>
        </w:rPr>
        <w:t>During the three and nine months ended September 30, 2024, we did not recognize any impairment charges. During the three and nine months ended September 30, 2023, we recognized zero and $2.2 million of impairment charges for right-of-use assets and other lease related property and equipment assets, respectively. See Note 9, "Leases" for additional information. We may incur additional impairment charges depending on the state of the corporate real estate market or shifts in our Virtual First strategy.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Impact of Macroeconomic Factors on our Business</w:t>
      </w:r>
    </w:p>
    <w:p>
      <w:pPr>
        <w:spacing w:after="0" w:line="253" w:lineRule="exact"/>
        <w:rPr>
          <w:sz w:val="20"/>
          <w:szCs w:val="20"/>
          <w:color w:val="auto"/>
        </w:rPr>
      </w:pPr>
    </w:p>
    <w:p>
      <w:pPr>
        <w:ind w:right="60" w:firstLine="392"/>
        <w:spacing w:after="0" w:line="276" w:lineRule="auto"/>
        <w:rPr>
          <w:sz w:val="20"/>
          <w:szCs w:val="20"/>
          <w:color w:val="auto"/>
        </w:rPr>
      </w:pPr>
      <w:r>
        <w:rPr>
          <w:rFonts w:ascii="Times New Roman" w:cs="Times New Roman" w:eastAsia="Times New Roman" w:hAnsi="Times New Roman"/>
          <w:sz w:val="17"/>
          <w:szCs w:val="17"/>
          <w:color w:val="auto"/>
        </w:rPr>
        <w:t>Our overall performance depends in part on worldwide economic and geopolitical conditions and their impact on customer behavior. Worsening economic conditions including inflation, higher interest rates, fluctuations in foreign exchange rates, and other conditions may adversely impact our results of operations and financial performance.</w:t>
      </w:r>
    </w:p>
    <w:p>
      <w:pPr>
        <w:spacing w:after="0" w:line="188" w:lineRule="exact"/>
        <w:rPr>
          <w:sz w:val="20"/>
          <w:szCs w:val="20"/>
          <w:color w:val="auto"/>
        </w:rPr>
      </w:pPr>
    </w:p>
    <w:p>
      <w:pPr>
        <w:ind w:right="40" w:firstLine="392"/>
        <w:spacing w:after="0" w:line="276" w:lineRule="auto"/>
        <w:rPr>
          <w:sz w:val="20"/>
          <w:szCs w:val="20"/>
          <w:color w:val="auto"/>
        </w:rPr>
      </w:pPr>
      <w:r>
        <w:rPr>
          <w:rFonts w:ascii="Times New Roman" w:cs="Times New Roman" w:eastAsia="Times New Roman" w:hAnsi="Times New Roman"/>
          <w:sz w:val="17"/>
          <w:szCs w:val="17"/>
          <w:color w:val="auto"/>
        </w:rPr>
        <w:t>During the three months ended September 30, 2024, we saw growth in Individual plans offset by continued pressure within our Teams plans, as businesses continued to face a challenging operating environment. We also continued to see better than anticipated performance within DocSend, while our FormSwift business faced seasonal pressure.</w:t>
      </w:r>
    </w:p>
    <w:p>
      <w:pPr>
        <w:spacing w:after="0" w:line="188"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We have seen and may continue to see cost savings from the shift to remote and distributed work for all of our employees in areas including events, travel, utilities, and other benefits. Due to our subscription-based business model, any impact of the current macroeconomic environment on our business, particularly as a result of changes in our customer behavior, may not be fully reflected in our results of operations until future periods, if at all. For a further discussion of the potential impacts of the macroeconomic environment on our business, see “Risk Factors” included in Part II, Item 1A. of this report.</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Cybersecurity</w:t>
      </w:r>
    </w:p>
    <w:p>
      <w:pPr>
        <w:spacing w:after="0" w:line="253"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In April 2024, we became aware of unauthorized access to the Dropbox Sign production environment, as previously disclosed in our Form 8-K filed with the Securities and Exchange Commission on May 1, 2024. While we remain subject to various risks due to the incident, including ongoing litigation and regulatory scrutiny, as of the date of this filing, it has not had, and no facts have come to light indicating that it is likely to have, a material impact on Dropbox’s overall financial condition or results of operations.</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Reduction in Workforce</w:t>
      </w:r>
    </w:p>
    <w:p>
      <w:pPr>
        <w:spacing w:after="0" w:line="253" w:lineRule="exact"/>
        <w:rPr>
          <w:sz w:val="20"/>
          <w:szCs w:val="20"/>
          <w:color w:val="auto"/>
        </w:rPr>
      </w:pPr>
    </w:p>
    <w:p>
      <w:pPr>
        <w:ind w:right="220" w:firstLine="392"/>
        <w:spacing w:after="0" w:line="302" w:lineRule="auto"/>
        <w:rPr>
          <w:sz w:val="20"/>
          <w:szCs w:val="20"/>
          <w:color w:val="auto"/>
        </w:rPr>
      </w:pPr>
      <w:r>
        <w:rPr>
          <w:rFonts w:ascii="Times New Roman" w:cs="Times New Roman" w:eastAsia="Times New Roman" w:hAnsi="Times New Roman"/>
          <w:sz w:val="17"/>
          <w:szCs w:val="17"/>
          <w:color w:val="auto"/>
        </w:rPr>
        <w:t xml:space="preserve">On October 30, 2024, we announced a reduction of our global workforce by approximately 20% to streamline our team structure to better align with our long-term growth and profitability objectives. See Note 16. </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Subsequent Events</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for additional information.</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251"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Total annual recurring revenue</w:t>
      </w:r>
    </w:p>
    <w:p>
      <w:pPr>
        <w:spacing w:after="0" w:line="122" w:lineRule="exact"/>
        <w:rPr>
          <w:sz w:val="20"/>
          <w:szCs w:val="20"/>
          <w:color w:val="auto"/>
        </w:rPr>
      </w:pPr>
    </w:p>
    <w:p>
      <w:pPr>
        <w:ind w:right="60" w:firstLine="392"/>
        <w:spacing w:after="0" w:line="266" w:lineRule="auto"/>
        <w:rPr>
          <w:sz w:val="20"/>
          <w:szCs w:val="20"/>
          <w:color w:val="auto"/>
        </w:rPr>
      </w:pPr>
      <w:r>
        <w:rPr>
          <w:rFonts w:ascii="Times New Roman" w:cs="Times New Roman" w:eastAsia="Times New Roman" w:hAnsi="Times New Roman"/>
          <w:sz w:val="17"/>
          <w:szCs w:val="17"/>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spacing w:after="0" w:line="197"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Our ARR fluctuates and may decline in some periods as compared to prior periods. ARR increased in the third quarter of 2024 as compared to the second quarter of 2024 as a result of growth in our Individual plans. We expect our ARR growth to moderate in the near term as we face headwinds stemming from a challenging operating environment, particularly as it relates to our Teams plans.</w:t>
      </w:r>
    </w:p>
    <w:p>
      <w:pPr>
        <w:spacing w:after="0" w:line="188"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We first include ARR related to acquired companies in our total ARR in the period of the acquisition. We adjust the exchange rates used to calculate Total ARR on an annual basis at the beginning of each fiscal year.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380" w:firstLine="392"/>
        <w:spacing w:after="0" w:line="295" w:lineRule="auto"/>
        <w:rPr>
          <w:sz w:val="20"/>
          <w:szCs w:val="20"/>
          <w:color w:val="auto"/>
        </w:rPr>
      </w:pPr>
      <w:r>
        <w:rPr>
          <w:rFonts w:ascii="Times New Roman" w:cs="Times New Roman" w:eastAsia="Times New Roman" w:hAnsi="Times New Roman"/>
          <w:sz w:val="17"/>
          <w:szCs w:val="17"/>
          <w:color w:val="auto"/>
        </w:rPr>
        <w:t>Total ARR increased for the period ended September 30, 2024, compared to the periods ended December 31, 2023 and September 30, 2023, primarily driven by an increase in paying users in our Individual plans.</w:t>
      </w:r>
    </w:p>
    <w:p>
      <w:pPr>
        <w:spacing w:after="0" w:line="173" w:lineRule="exact"/>
        <w:rPr>
          <w:sz w:val="20"/>
          <w:szCs w:val="20"/>
          <w:color w:val="auto"/>
        </w:rPr>
      </w:pPr>
    </w:p>
    <w:p>
      <w:pPr>
        <w:ind w:right="500" w:firstLine="392"/>
        <w:spacing w:after="0" w:line="295" w:lineRule="auto"/>
        <w:rPr>
          <w:sz w:val="20"/>
          <w:szCs w:val="20"/>
          <w:color w:val="auto"/>
        </w:rPr>
      </w:pPr>
      <w:r>
        <w:rPr>
          <w:rFonts w:ascii="Times New Roman" w:cs="Times New Roman" w:eastAsia="Times New Roman" w:hAnsi="Times New Roman"/>
          <w:sz w:val="17"/>
          <w:szCs w:val="17"/>
          <w:color w:val="auto"/>
        </w:rPr>
        <w:t>The below tables set forth our Total ARR using the exchange rates set at the beginning of the applicable year, as well as on a constant currency basis relative to the exchange rates used in 2024.</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00" w:type="dxa"/>
            <w:vAlign w:val="bottom"/>
            <w:tcBorders>
              <w:bottom w:val="single" w:sz="8" w:color="auto"/>
            </w:tcBorders>
          </w:tcPr>
          <w:p>
            <w:pPr>
              <w:spacing w:after="0"/>
              <w:rPr>
                <w:sz w:val="19"/>
                <w:szCs w:val="19"/>
                <w:color w:val="auto"/>
              </w:rPr>
            </w:pPr>
          </w:p>
        </w:tc>
      </w:tr>
      <w:tr>
        <w:trPr>
          <w:trHeight w:val="215"/>
        </w:trPr>
        <w:tc>
          <w:tcPr>
            <w:tcW w:w="5040" w:type="dxa"/>
            <w:vAlign w:val="bottom"/>
          </w:tcPr>
          <w:p>
            <w:pPr>
              <w:spacing w:after="0"/>
              <w:rPr>
                <w:sz w:val="18"/>
                <w:szCs w:val="18"/>
                <w:color w:val="auto"/>
              </w:rPr>
            </w:pPr>
          </w:p>
        </w:tc>
        <w:tc>
          <w:tcPr>
            <w:tcW w:w="21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2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September 30, 2023</w:t>
            </w:r>
          </w:p>
        </w:tc>
      </w:tr>
      <w:tr>
        <w:trPr>
          <w:trHeight w:val="215"/>
        </w:trPr>
        <w:tc>
          <w:tcPr>
            <w:tcW w:w="50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60" w:type="dxa"/>
            <w:vAlign w:val="bottom"/>
          </w:tcPr>
          <w:p>
            <w:pPr>
              <w:jc w:val="center"/>
              <w:ind w:right="1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900" w:type="dxa"/>
            <w:vAlign w:val="bottom"/>
          </w:tcPr>
          <w:p>
            <w:pPr>
              <w:spacing w:after="0"/>
              <w:rPr>
                <w:sz w:val="18"/>
                <w:szCs w:val="18"/>
                <w:color w:val="auto"/>
              </w:rPr>
            </w:pPr>
          </w:p>
        </w:tc>
      </w:tr>
      <w:tr>
        <w:trPr>
          <w:trHeight w:val="22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ARR</w:t>
            </w:r>
          </w:p>
        </w:tc>
        <w:tc>
          <w:tcPr>
            <w:tcW w:w="21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$2,579</w:t>
            </w:r>
          </w:p>
        </w:tc>
        <w:tc>
          <w:tcPr>
            <w:tcW w:w="2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$2,523</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w:t>
            </w:r>
          </w:p>
        </w:tc>
      </w:tr>
      <w:tr>
        <w:trPr>
          <w:trHeight w:val="575"/>
        </w:trPr>
        <w:tc>
          <w:tcPr>
            <w:tcW w:w="504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00" w:type="dxa"/>
            <w:vAlign w:val="bottom"/>
            <w:tcBorders>
              <w:bottom w:val="single" w:sz="8" w:color="auto"/>
            </w:tcBorders>
          </w:tcPr>
          <w:p>
            <w:pPr>
              <w:spacing w:after="0"/>
              <w:rPr>
                <w:sz w:val="24"/>
                <w:szCs w:val="24"/>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Constant Currency</w:t>
            </w:r>
          </w:p>
        </w:tc>
        <w:tc>
          <w:tcPr>
            <w:tcW w:w="21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2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September 30, 2023</w:t>
            </w:r>
          </w:p>
        </w:tc>
      </w:tr>
      <w:tr>
        <w:trPr>
          <w:trHeight w:val="215"/>
        </w:trPr>
        <w:tc>
          <w:tcPr>
            <w:tcW w:w="50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60" w:type="dxa"/>
            <w:vAlign w:val="bottom"/>
          </w:tcPr>
          <w:p>
            <w:pPr>
              <w:jc w:val="center"/>
              <w:ind w:right="1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900" w:type="dxa"/>
            <w:vAlign w:val="bottom"/>
          </w:tcPr>
          <w:p>
            <w:pPr>
              <w:spacing w:after="0"/>
              <w:rPr>
                <w:sz w:val="18"/>
                <w:szCs w:val="18"/>
                <w:color w:val="auto"/>
              </w:rPr>
            </w:pPr>
          </w:p>
        </w:tc>
      </w:tr>
      <w:tr>
        <w:trPr>
          <w:trHeight w:val="22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ARR</w:t>
            </w:r>
          </w:p>
        </w:tc>
        <w:tc>
          <w:tcPr>
            <w:tcW w:w="21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$2,579</w:t>
            </w:r>
          </w:p>
        </w:tc>
        <w:tc>
          <w:tcPr>
            <w:tcW w:w="2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$2,540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$2,543</w:t>
            </w:r>
          </w:p>
        </w:tc>
      </w:tr>
    </w:tbl>
    <w:p>
      <w:pPr>
        <w:spacing w:after="0" w:line="200" w:lineRule="exact"/>
        <w:rPr>
          <w:sz w:val="20"/>
          <w:szCs w:val="20"/>
          <w:color w:val="auto"/>
        </w:rPr>
      </w:pP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Paying users</w:t>
      </w:r>
    </w:p>
    <w:p>
      <w:pPr>
        <w:spacing w:after="0" w:line="109" w:lineRule="exact"/>
        <w:rPr>
          <w:sz w:val="20"/>
          <w:szCs w:val="20"/>
          <w:color w:val="auto"/>
        </w:rPr>
      </w:pPr>
    </w:p>
    <w:p>
      <w:pPr>
        <w:ind w:firstLine="392"/>
        <w:spacing w:after="0" w:line="246" w:lineRule="auto"/>
        <w:rPr>
          <w:sz w:val="20"/>
          <w:szCs w:val="20"/>
          <w:color w:val="auto"/>
        </w:rPr>
      </w:pPr>
      <w:r>
        <w:rPr>
          <w:rFonts w:ascii="Times New Roman" w:cs="Times New Roman" w:eastAsia="Times New Roman" w:hAnsi="Times New Roman"/>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Enterprise team would count as 50 paying users, and an individual Dropbox Plus user would count as one paying user. If that individual Dropbox Plus user was also part of the 50-person Dropbox Enterprise team, we would count the individual as two paying users. We first include paying users related to acquired companies among our paying users in the period of the acquisition.</w:t>
      </w:r>
    </w:p>
    <w:p>
      <w:pPr>
        <w:spacing w:after="0" w:line="200" w:lineRule="exact"/>
        <w:rPr>
          <w:sz w:val="20"/>
          <w:szCs w:val="20"/>
          <w:color w:val="auto"/>
        </w:rPr>
      </w:pPr>
    </w:p>
    <w:p>
      <w:pPr>
        <w:spacing w:after="0" w:line="214"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For DocSend and FormSwift, we define paying users as the number of users who have active paid licenses for access to our platform as of the end of the period.</w:t>
      </w:r>
    </w:p>
    <w:p>
      <w:pPr>
        <w:spacing w:after="0" w:line="173" w:lineRule="exact"/>
        <w:rPr>
          <w:sz w:val="20"/>
          <w:szCs w:val="20"/>
          <w:color w:val="auto"/>
        </w:rPr>
      </w:pPr>
    </w:p>
    <w:p>
      <w:pPr>
        <w:ind w:right="140" w:firstLine="392"/>
        <w:spacing w:after="0" w:line="266" w:lineRule="auto"/>
        <w:rPr>
          <w:sz w:val="20"/>
          <w:szCs w:val="20"/>
          <w:color w:val="auto"/>
        </w:rPr>
      </w:pPr>
      <w:r>
        <w:rPr>
          <w:rFonts w:ascii="Times New Roman" w:cs="Times New Roman" w:eastAsia="Times New Roman" w:hAnsi="Times New Roman"/>
          <w:sz w:val="17"/>
          <w:szCs w:val="17"/>
          <w:color w:val="auto"/>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197" w:lineRule="exact"/>
        <w:rPr>
          <w:sz w:val="20"/>
          <w:szCs w:val="20"/>
          <w:color w:val="auto"/>
        </w:rPr>
      </w:pPr>
    </w:p>
    <w:p>
      <w:pPr>
        <w:ind w:right="380" w:firstLine="392"/>
        <w:spacing w:after="0" w:line="276" w:lineRule="auto"/>
        <w:rPr>
          <w:sz w:val="20"/>
          <w:szCs w:val="20"/>
          <w:color w:val="auto"/>
        </w:rPr>
      </w:pPr>
      <w:r>
        <w:rPr>
          <w:rFonts w:ascii="Times New Roman" w:cs="Times New Roman" w:eastAsia="Times New Roman" w:hAnsi="Times New Roman"/>
          <w:sz w:val="17"/>
          <w:szCs w:val="17"/>
          <w:color w:val="auto"/>
        </w:rPr>
        <w:t>The number of paying users as of September 30, 2024 grew as compared to December 31, 2023 and September 30, 2023, largely from an increase in paying users in Individual plans and from our acquisition of Reclaim offset by a decrease in paying users due to downsell pressures across our Teams plans. However, our overall paying user growth rate has declined and may decline in the future.</w:t>
      </w:r>
    </w:p>
    <w:p>
      <w:pPr>
        <w:spacing w:after="0" w:line="188"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The total number of paying users fluctuates and may increase in some periods as compared to prior periods. For example, paying users increased slightly in the third quarter of 2024 as compared to the second quarter of 2024. We expect to drive paying user growth, however the pace of our future growth may be lower relative to prior periods.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below table sets forth the number of paying users as of September 30, 2024, December 31, 2023, and September 30,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20" w:type="dxa"/>
            <w:vAlign w:val="bottom"/>
            <w:tcBorders>
              <w:bottom w:val="single" w:sz="8" w:color="auto"/>
            </w:tcBorders>
          </w:tcPr>
          <w:p>
            <w:pPr>
              <w:spacing w:after="0"/>
              <w:rPr>
                <w:sz w:val="19"/>
                <w:szCs w:val="19"/>
                <w:color w:val="auto"/>
              </w:rPr>
            </w:pPr>
          </w:p>
        </w:tc>
      </w:tr>
      <w:tr>
        <w:trPr>
          <w:trHeight w:val="215"/>
        </w:trPr>
        <w:tc>
          <w:tcPr>
            <w:tcW w:w="5080" w:type="dxa"/>
            <w:vAlign w:val="bottom"/>
          </w:tcPr>
          <w:p>
            <w:pPr>
              <w:spacing w:after="0"/>
              <w:rPr>
                <w:sz w:val="18"/>
                <w:szCs w:val="18"/>
                <w:color w:val="auto"/>
              </w:rPr>
            </w:pPr>
          </w:p>
        </w:tc>
        <w:tc>
          <w:tcPr>
            <w:tcW w:w="21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20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September 30, 2023</w:t>
            </w:r>
          </w:p>
        </w:tc>
      </w:tr>
      <w:tr>
        <w:trPr>
          <w:trHeight w:val="215"/>
        </w:trPr>
        <w:tc>
          <w:tcPr>
            <w:tcW w:w="5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80" w:type="dxa"/>
            <w:vAlign w:val="bottom"/>
          </w:tcPr>
          <w:p>
            <w:pPr>
              <w:jc w:val="center"/>
              <w:ind w:right="1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920" w:type="dxa"/>
            <w:vAlign w:val="bottom"/>
          </w:tcPr>
          <w:p>
            <w:pPr>
              <w:spacing w:after="0"/>
              <w:rPr>
                <w:sz w:val="18"/>
                <w:szCs w:val="18"/>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Paying users</w:t>
            </w:r>
          </w:p>
        </w:tc>
        <w:tc>
          <w:tcPr>
            <w:tcW w:w="2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18.24</w:t>
            </w:r>
          </w:p>
        </w:tc>
        <w:tc>
          <w:tcPr>
            <w:tcW w:w="2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18.12</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Average revenue per paying user</w:t>
      </w:r>
    </w:p>
    <w:p>
      <w:pPr>
        <w:spacing w:after="0" w:line="122"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300" w:lineRule="exact"/>
        <w:rPr>
          <w:sz w:val="20"/>
          <w:szCs w:val="20"/>
          <w:color w:val="auto"/>
        </w:rPr>
      </w:pPr>
    </w:p>
    <w:p>
      <w:pPr>
        <w:ind w:right="40" w:firstLine="392"/>
        <w:spacing w:after="0" w:line="276" w:lineRule="auto"/>
        <w:rPr>
          <w:sz w:val="20"/>
          <w:szCs w:val="20"/>
          <w:color w:val="auto"/>
        </w:rPr>
      </w:pPr>
      <w:r>
        <w:rPr>
          <w:rFonts w:ascii="Times New Roman" w:cs="Times New Roman" w:eastAsia="Times New Roman" w:hAnsi="Times New Roman"/>
          <w:sz w:val="17"/>
          <w:szCs w:val="17"/>
          <w:color w:val="auto"/>
        </w:rPr>
        <w:t>As a result of an increased mix of sales towards our higher priced plans, as well as a shift to monthly subscription plans, which have a higher price point than our annual plans, we experienced an increase in our average revenue per paying user for the three and nine months ended September 30, 2024, compared to the three and nine months ended September 30, 2023.</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below table sets forth our ARPU for the three and nine months ended September 30,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80" w:type="dxa"/>
            <w:vAlign w:val="bottom"/>
            <w:gridSpan w:val="5"/>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20" w:type="dxa"/>
            <w:vAlign w:val="bottom"/>
          </w:tcPr>
          <w:p>
            <w:pPr>
              <w:spacing w:after="0"/>
              <w:rPr>
                <w:sz w:val="17"/>
                <w:szCs w:val="17"/>
                <w:color w:val="auto"/>
              </w:rPr>
            </w:pPr>
          </w:p>
        </w:tc>
        <w:tc>
          <w:tcPr>
            <w:tcW w:w="2140" w:type="dxa"/>
            <w:vAlign w:val="bottom"/>
            <w:gridSpan w:val="3"/>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40" w:type="dxa"/>
            <w:vAlign w:val="bottom"/>
          </w:tcPr>
          <w:p>
            <w:pPr>
              <w:spacing w:after="0"/>
              <w:rPr>
                <w:sz w:val="17"/>
                <w:szCs w:val="17"/>
                <w:color w:val="auto"/>
              </w:rPr>
            </w:pPr>
          </w:p>
        </w:tc>
      </w:tr>
      <w:tr>
        <w:trPr>
          <w:trHeight w:val="232"/>
        </w:trPr>
        <w:tc>
          <w:tcPr>
            <w:tcW w:w="39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6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40" w:type="dxa"/>
            <w:vAlign w:val="bottom"/>
            <w:tcBorders>
              <w:bottom w:val="single" w:sz="8" w:color="auto"/>
            </w:tcBorders>
          </w:tcPr>
          <w:p>
            <w:pPr>
              <w:spacing w:after="0"/>
              <w:rPr>
                <w:sz w:val="20"/>
                <w:szCs w:val="20"/>
                <w:color w:val="auto"/>
              </w:rPr>
            </w:pPr>
          </w:p>
        </w:tc>
      </w:tr>
      <w:tr>
        <w:trPr>
          <w:trHeight w:val="218"/>
        </w:trPr>
        <w:tc>
          <w:tcPr>
            <w:tcW w:w="39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w w:val="93"/>
              </w:rPr>
              <w:t>2023</w:t>
            </w: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ARPU</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138.86</w:t>
            </w:r>
          </w:p>
        </w:tc>
      </w:tr>
      <w:tr>
        <w:trPr>
          <w:trHeight w:val="836"/>
        </w:trPr>
        <w:tc>
          <w:tcPr>
            <w:tcW w:w="3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43</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1"/>
        </w:trPr>
        <w:tc>
          <w:tcPr>
            <w:tcW w:w="39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w:t>
      </w:r>
    </w:p>
    <w:p>
      <w:pPr>
        <w:spacing w:after="0" w:line="251"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Free cash flow</w:t>
      </w:r>
    </w:p>
    <w:p>
      <w:pPr>
        <w:spacing w:after="0" w:line="122"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86" w:lineRule="exact"/>
        <w:rPr>
          <w:sz w:val="20"/>
          <w:szCs w:val="20"/>
          <w:color w:val="auto"/>
        </w:rPr>
      </w:pPr>
    </w:p>
    <w:p>
      <w:pPr>
        <w:ind w:right="40" w:firstLine="392"/>
        <w:spacing w:after="0" w:line="260" w:lineRule="auto"/>
        <w:rPr>
          <w:sz w:val="20"/>
          <w:szCs w:val="20"/>
          <w:color w:val="auto"/>
        </w:rPr>
      </w:pPr>
      <w:r>
        <w:rPr>
          <w:rFonts w:ascii="Times New Roman" w:cs="Times New Roman" w:eastAsia="Times New Roman" w:hAnsi="Times New Roman"/>
          <w:sz w:val="17"/>
          <w:szCs w:val="17"/>
          <w:color w:val="auto"/>
        </w:rPr>
        <w:t>Our FCF increased for the nine months ended September 30, 2024, compared to the nine months ended September 30, 2023, primarily due to an increase in cash provided by operating activities from increased subscription sales, as a majority of our paying users are invoiced in advance, and payments related to our 2023 reduction in workforce, partially offset by an increase in capital expenditures.</w:t>
      </w:r>
    </w:p>
    <w:p>
      <w:pPr>
        <w:spacing w:after="0" w:line="188" w:lineRule="exact"/>
        <w:rPr>
          <w:sz w:val="20"/>
          <w:szCs w:val="20"/>
          <w:color w:val="auto"/>
        </w:rPr>
      </w:pPr>
    </w:p>
    <w:p>
      <w:pPr>
        <w:ind w:right="60" w:firstLine="392"/>
        <w:spacing w:after="0" w:line="253" w:lineRule="auto"/>
        <w:rPr>
          <w:sz w:val="20"/>
          <w:szCs w:val="20"/>
          <w:color w:val="auto"/>
        </w:rPr>
      </w:pPr>
      <w:r>
        <w:rPr>
          <w:rFonts w:ascii="Times New Roman" w:cs="Times New Roman" w:eastAsia="Times New Roman" w:hAnsi="Times New Roman"/>
          <w:sz w:val="17"/>
          <w:szCs w:val="17"/>
          <w:color w:val="auto"/>
        </w:rPr>
        <w:t>We expect our FCF to generally increase in the near term as we drive operating efficiencies, partly due to our 2024 reduction in workforce. We expect to continue to purchase infrastructure equipment to support our user base and anticipate that our capital expenditures will generally remain consistent in future periods as we continue to invest in our internal infrastructure, network and security. The timing of our operating expenses as described below, may cause FCF to vary from period to period as a percentage of revenue.</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is a reconciliation of FCF to the most comparable GAAP measure, net cash provided by operating activities:</w:t>
      </w:r>
    </w:p>
    <w:p>
      <w:pPr>
        <w:spacing w:after="0" w:line="374"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ind w:left="200"/>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680.3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583.4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3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3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661.1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569.1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1693"/>
              <w:spacing w:after="0"/>
              <w:rPr>
                <w:sz w:val="20"/>
                <w:szCs w:val="20"/>
                <w:color w:val="auto"/>
              </w:rPr>
            </w:pPr>
            <w:r>
              <w:rPr>
                <w:rFonts w:ascii="Times New Roman" w:cs="Times New Roman" w:eastAsia="Times New Roman" w:hAnsi="Times New Roman"/>
                <w:sz w:val="17"/>
                <w:szCs w:val="17"/>
                <w:color w:val="auto"/>
              </w:rPr>
              <w:t>44</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42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0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generate revenue from sales of subscriptions to our platform.</w:t>
      </w:r>
    </w:p>
    <w:p>
      <w:pPr>
        <w:spacing w:after="0" w:line="249"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95"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Our revenue is driven primarily by conversions and upsells to our paid plans. We also generate revenue from transaction based products and fees from the referral of users to our partners. We generate over 90% of our revenue from self-serve channels. No customer represented more than 1% of our revenue in the periods presented.</w:t>
      </w:r>
    </w:p>
    <w:p>
      <w:pPr>
        <w:spacing w:after="0" w:line="188"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Our revenue growth is impacted by our number of paying users, as well as our ability to increase the average revenue per paying user. Our overall paying user growth rate has declined and we expect growth in paying users to fluctuate from period to period in the future. Accordingly, if we do not increase the average revenue per paying user, for example through pricing and packaging changes or increased sales of our higher-priced subscription plans, to offset slower growth or decline in paying users, our revenue and revenue growth rate will decline.</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and gross margin</w:t>
      </w:r>
    </w:p>
    <w:p>
      <w:pPr>
        <w:spacing w:after="0" w:line="120" w:lineRule="exact"/>
        <w:rPr>
          <w:sz w:val="20"/>
          <w:szCs w:val="20"/>
          <w:color w:val="auto"/>
        </w:rPr>
      </w:pPr>
    </w:p>
    <w:p>
      <w:pPr>
        <w:ind w:right="100" w:firstLine="392"/>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Our cost of revenue consists primarily of expenses associated with the storage, delivery, and distribution of our platform for both paying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206"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We plan to continue increasing the capacity and enhancing the capability and reliability of our infrastructure to support user growth and increased use of our platform. We expect that cost of revenue will decrease in absolute dollars in the near term due to a one-time benefit of increasing the useful lives of certain infrastructure server and component assets from four to five years and increase in absolute dollars in the long term as the benefit lapses. See Note 1. "Description of the Business and Summary of Significant Accounting Policies - Use of Estimates" for additional information.</w:t>
      </w:r>
    </w:p>
    <w:p>
      <w:pPr>
        <w:spacing w:after="0" w:line="193" w:lineRule="exact"/>
        <w:rPr>
          <w:sz w:val="20"/>
          <w:szCs w:val="20"/>
          <w:color w:val="auto"/>
        </w:rPr>
      </w:pPr>
    </w:p>
    <w:p>
      <w:pPr>
        <w:ind w:right="140" w:firstLine="392"/>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Gross margin. </w:t>
      </w:r>
      <w:r>
        <w:rPr>
          <w:rFonts w:ascii="Times New Roman" w:cs="Times New Roman" w:eastAsia="Times New Roman" w:hAnsi="Times New Roman"/>
          <w:sz w:val="17"/>
          <w:szCs w:val="17"/>
          <w:color w:val="auto"/>
        </w:rPr>
        <w:t>Gross margin is gross profit expressed as a percentage of revenue. Our gross margin may fluctuate from period to period based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timing of additional capital expenditures and the related depreciation expense, or other increases in our infrastructure costs, as well as revenue fluctuations. We expect gross margin to decrease slightly in the near term as we lap the benefit of our extension of useful lives of certain infrastructure server and component assets as described above, and remain relatively constant in the long term.</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0" w:lineRule="exact"/>
        <w:rPr>
          <w:sz w:val="20"/>
          <w:szCs w:val="20"/>
          <w:color w:val="auto"/>
        </w:rPr>
      </w:pPr>
    </w:p>
    <w:p>
      <w:pPr>
        <w:ind w:right="60" w:firstLine="392"/>
        <w:spacing w:after="0" w:line="267" w:lineRule="auto"/>
        <w:rPr>
          <w:sz w:val="20"/>
          <w:szCs w:val="20"/>
          <w:color w:val="auto"/>
        </w:rPr>
      </w:pPr>
      <w:r>
        <w:rPr>
          <w:rFonts w:ascii="Times New Roman" w:cs="Times New Roman" w:eastAsia="Times New Roman" w:hAnsi="Times New Roman"/>
          <w:sz w:val="17"/>
          <w:szCs w:val="17"/>
          <w:i w:val="1"/>
          <w:iCs w:val="1"/>
          <w:color w:val="auto"/>
        </w:rPr>
        <w:t>Research and development</w:t>
      </w:r>
      <w:r>
        <w:rPr>
          <w:rFonts w:ascii="Times New Roman" w:cs="Times New Roman" w:eastAsia="Times New Roman" w:hAnsi="Times New Roman"/>
          <w:sz w:val="17"/>
          <w:szCs w:val="17"/>
          <w:color w:val="auto"/>
        </w:rPr>
        <w:t>. Our research and development expenses consist primarily of employee-related costs for our engineering, product, and design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teams,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We expect that research and development costs will decrease in absolute dollars and as a percentage of revenue in both the near term and long term as a result of our 2024 reduction in workforce, partially offset by continued hiring for our engineering, product, and design teams in roles critical to our future growth initiatives.</w:t>
      </w:r>
    </w:p>
    <w:p>
      <w:pPr>
        <w:spacing w:after="0" w:line="186" w:lineRule="exact"/>
        <w:rPr>
          <w:sz w:val="20"/>
          <w:szCs w:val="20"/>
          <w:color w:val="auto"/>
        </w:rPr>
      </w:pPr>
    </w:p>
    <w:p>
      <w:pPr>
        <w:ind w:right="40" w:firstLine="392"/>
        <w:spacing w:after="0" w:line="267" w:lineRule="auto"/>
        <w:rPr>
          <w:sz w:val="20"/>
          <w:szCs w:val="20"/>
          <w:color w:val="auto"/>
        </w:rPr>
      </w:pPr>
      <w:r>
        <w:rPr>
          <w:rFonts w:ascii="Times New Roman" w:cs="Times New Roman" w:eastAsia="Times New Roman" w:hAnsi="Times New Roman"/>
          <w:sz w:val="17"/>
          <w:szCs w:val="17"/>
          <w:i w:val="1"/>
          <w:iCs w:val="1"/>
          <w:color w:val="auto"/>
        </w:rPr>
        <w:t>Sales and marketing</w:t>
      </w:r>
      <w:r>
        <w:rPr>
          <w:rFonts w:ascii="Times New Roman" w:cs="Times New Roman" w:eastAsia="Times New Roman" w:hAnsi="Times New Roman"/>
          <w:sz w:val="17"/>
          <w:szCs w:val="17"/>
          <w:color w:val="auto"/>
        </w:rPr>
        <w:t>. Our sales and marketing expenses relate to both self-serve and outbound sales activities, and consist primarily of employee-related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195"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We expect that sales and marketing expenses will decrease in absolute dollars and as a percentage of revenue in both the near term and long term as a result of our 2024 reduction in workforce, partially offset by continued investment in sales and marketing in the long term, in order to grow our user base and increase our brand awareness. The trend and timing of sales and marketing expenses will depend in part on the timing of marketing campaigns.</w:t>
      </w:r>
    </w:p>
    <w:p>
      <w:pPr>
        <w:spacing w:after="0" w:line="186" w:lineRule="exact"/>
        <w:rPr>
          <w:sz w:val="20"/>
          <w:szCs w:val="20"/>
          <w:color w:val="auto"/>
        </w:rPr>
      </w:pPr>
    </w:p>
    <w:p>
      <w:pPr>
        <w:ind w:right="40" w:firstLine="392"/>
        <w:spacing w:after="0" w:line="270"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Our general and administrative expenses consist primarily of employee-related costs for our legal, finance, human resources,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other administrative teams, as well as certain executives. In addition, general and administrative expenses include allocated overhead, outside legal, accounting and other professional fees, non income-based taxes, and the recognition of stock-based compensation expense related to the grant of restricted stock made to our co-founder.</w:t>
      </w:r>
    </w:p>
    <w:p>
      <w:pPr>
        <w:spacing w:after="0" w:line="194" w:lineRule="exact"/>
        <w:rPr>
          <w:sz w:val="20"/>
          <w:szCs w:val="20"/>
          <w:color w:val="auto"/>
        </w:rPr>
      </w:pPr>
    </w:p>
    <w:p>
      <w:pPr>
        <w:ind w:right="280" w:firstLine="392"/>
        <w:spacing w:after="0" w:line="295" w:lineRule="auto"/>
        <w:rPr>
          <w:sz w:val="20"/>
          <w:szCs w:val="20"/>
          <w:color w:val="auto"/>
        </w:rPr>
      </w:pPr>
      <w:r>
        <w:rPr>
          <w:rFonts w:ascii="Times New Roman" w:cs="Times New Roman" w:eastAsia="Times New Roman" w:hAnsi="Times New Roman"/>
          <w:sz w:val="17"/>
          <w:szCs w:val="17"/>
          <w:color w:val="auto"/>
        </w:rPr>
        <w:t>We expect to incur additional general and administrative expenses to support the growth of the Company. We expect that general and administrative expenses will fluctuate in absolute dollars in future periods and remain relatively constant in both the near term and the long term as a percentage of revenue.</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Net loss on real estate assets</w:t>
      </w:r>
    </w:p>
    <w:p>
      <w:pPr>
        <w:spacing w:after="0" w:line="122"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Net loss on real estate assets consists primarily of impairment charges related to certain right-of-use assets and other lease related property and equipment assets in 2023. See Note 9, "Leases" for additional information.</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net</w:t>
      </w:r>
    </w:p>
    <w:p>
      <w:pPr>
        <w:spacing w:after="0" w:line="122"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Interest income, net consists primarily of interest income earned on our investments classified as cash and cash equivalents and short-term investments as well as interest expense related to our finance lease obligations for infrastructure and amortization of debt issuance costs.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income (loss), net</w:t>
      </w:r>
    </w:p>
    <w:p>
      <w:pPr>
        <w:spacing w:after="0" w:line="122" w:lineRule="exact"/>
        <w:rPr>
          <w:sz w:val="20"/>
          <w:szCs w:val="20"/>
          <w:color w:val="auto"/>
        </w:rPr>
      </w:pPr>
    </w:p>
    <w:p>
      <w:pPr>
        <w:ind w:right="560" w:firstLine="392"/>
        <w:spacing w:after="0" w:line="295" w:lineRule="auto"/>
        <w:rPr>
          <w:sz w:val="20"/>
          <w:szCs w:val="20"/>
          <w:color w:val="auto"/>
        </w:rPr>
      </w:pPr>
      <w:r>
        <w:rPr>
          <w:rFonts w:ascii="Times New Roman" w:cs="Times New Roman" w:eastAsia="Times New Roman" w:hAnsi="Times New Roman"/>
          <w:sz w:val="17"/>
          <w:szCs w:val="17"/>
          <w:color w:val="auto"/>
        </w:rPr>
        <w:t>Other income (loss), net consists of other non-operating gains or losses, including those related to gains or losses on sale of assets, foreign currency transaction gains and losses, lease arrangements, which include sublease income, and realized gains and losses related to our short-term investments.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Provision for income taxes consists of U.S. federal, state and foreign jurisdiction income taxes. For 2024 and 2023, the difference between the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statutory rate and our effective tax rate is primarily due to jurisdictional mix of earnings, tax credits and state income taxes.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7"/>
                <w:szCs w:val="17"/>
                <w:color w:val="auto"/>
              </w:rPr>
            </w:pPr>
          </w:p>
        </w:tc>
        <w:tc>
          <w:tcPr>
            <w:tcW w:w="3000" w:type="dxa"/>
            <w:vAlign w:val="bottom"/>
            <w:gridSpan w:val="4"/>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60" w:type="dxa"/>
            <w:vAlign w:val="bottom"/>
          </w:tcPr>
          <w:p>
            <w:pPr>
              <w:spacing w:after="0"/>
              <w:rPr>
                <w:sz w:val="17"/>
                <w:szCs w:val="17"/>
                <w:color w:val="auto"/>
              </w:rPr>
            </w:pPr>
          </w:p>
        </w:tc>
      </w:tr>
      <w:tr>
        <w:trPr>
          <w:trHeight w:val="232"/>
        </w:trPr>
        <w:tc>
          <w:tcPr>
            <w:tcW w:w="39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18"/>
        </w:trPr>
        <w:tc>
          <w:tcPr>
            <w:tcW w:w="3960" w:type="dxa"/>
            <w:vAlign w:val="bottom"/>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5"/>
        </w:trPr>
        <w:tc>
          <w:tcPr>
            <w:tcW w:w="3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gridSpan w:val="3"/>
          </w:tcPr>
          <w:p>
            <w:pPr>
              <w:jc w:val="right"/>
              <w:ind w:right="5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1,866.6</w:t>
            </w:r>
          </w:p>
        </w:tc>
      </w:tr>
      <w:tr>
        <w:trPr>
          <w:trHeight w:val="222"/>
        </w:trPr>
        <w:tc>
          <w:tcPr>
            <w:tcW w:w="3960" w:type="dxa"/>
            <w:vAlign w:val="bottom"/>
            <w:tcBorders>
              <w:bottom w:val="single" w:sz="8" w:color="CCEEFF"/>
            </w:tcBorders>
          </w:tcPr>
          <w:p>
            <w:pPr>
              <w:ind w:left="38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(1)(2)</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324.3</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356.5</w:t>
            </w: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1,510.1</w:t>
            </w:r>
          </w:p>
        </w:tc>
      </w:tr>
      <w:tr>
        <w:trPr>
          <w:trHeight w:val="22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2"/>
        </w:trPr>
        <w:tc>
          <w:tcPr>
            <w:tcW w:w="3960" w:type="dxa"/>
            <w:vAlign w:val="bottom"/>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(1)(2)</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714.4</w:t>
            </w:r>
          </w:p>
        </w:tc>
      </w:tr>
      <w:tr>
        <w:trPr>
          <w:trHeight w:val="222"/>
        </w:trPr>
        <w:tc>
          <w:tcPr>
            <w:tcW w:w="3960" w:type="dxa"/>
            <w:vAlign w:val="bottom"/>
          </w:tcPr>
          <w:p>
            <w:pPr>
              <w:ind w:left="340"/>
              <w:spacing w:after="0" w:line="222"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2"/>
                <w:szCs w:val="22"/>
                <w:color w:val="auto"/>
                <w:vertAlign w:val="superscript"/>
              </w:rPr>
              <w:t>(1)(2)</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346.4</w:t>
            </w:r>
          </w:p>
        </w:tc>
      </w:tr>
      <w:tr>
        <w:trPr>
          <w:trHeight w:val="222"/>
        </w:trPr>
        <w:tc>
          <w:tcPr>
            <w:tcW w:w="3960" w:type="dxa"/>
            <w:vAlign w:val="bottom"/>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(1)(2)</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w:t>
            </w:r>
          </w:p>
        </w:tc>
      </w:tr>
      <w:tr>
        <w:trPr>
          <w:trHeight w:val="222"/>
        </w:trPr>
        <w:tc>
          <w:tcPr>
            <w:tcW w:w="3960" w:type="dxa"/>
            <w:vAlign w:val="bottom"/>
          </w:tcPr>
          <w:p>
            <w:pPr>
              <w:ind w:left="340"/>
              <w:spacing w:after="0" w:line="222" w:lineRule="exact"/>
              <w:rPr>
                <w:sz w:val="20"/>
                <w:szCs w:val="20"/>
                <w:color w:val="auto"/>
              </w:rPr>
            </w:pPr>
            <w:r>
              <w:rPr>
                <w:rFonts w:ascii="Times New Roman" w:cs="Times New Roman" w:eastAsia="Times New Roman" w:hAnsi="Times New Roman"/>
                <w:sz w:val="17"/>
                <w:szCs w:val="17"/>
                <w:color w:val="auto"/>
              </w:rPr>
              <w:t>Net loss on real estate assets</w:t>
            </w:r>
            <w:r>
              <w:rPr>
                <w:rFonts w:ascii="Times New Roman" w:cs="Times New Roman" w:eastAsia="Times New Roman" w:hAnsi="Times New Roman"/>
                <w:sz w:val="22"/>
                <w:szCs w:val="22"/>
                <w:color w:val="auto"/>
                <w:vertAlign w:val="superscript"/>
              </w:rPr>
              <w:t>(3)</w:t>
            </w:r>
          </w:p>
        </w:tc>
        <w:tc>
          <w:tcPr>
            <w:tcW w:w="1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5"/>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399.5</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382.7</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1,182.0</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1,238.8</w:t>
            </w:r>
          </w:p>
        </w:tc>
      </w:tr>
      <w:tr>
        <w:trPr>
          <w:trHeight w:val="22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271.3</w:t>
            </w:r>
          </w:p>
        </w:tc>
      </w:tr>
      <w:tr>
        <w:trPr>
          <w:trHeight w:val="22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 net</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22"/>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(loss), net</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w:t>
            </w:r>
          </w:p>
        </w:tc>
      </w:tr>
      <w:tr>
        <w:trPr>
          <w:trHeight w:val="222"/>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w:t>
            </w:r>
          </w:p>
        </w:tc>
      </w:tr>
      <w:tr>
        <w:trPr>
          <w:trHeight w:val="24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349.5</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226.3</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140" w:hanging="135"/>
        <w:spacing w:after="0"/>
        <w:tabs>
          <w:tab w:leader="none" w:pos="14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follows: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3020" w:type="dxa"/>
            <w:vAlign w:val="bottom"/>
            <w:gridSpan w:val="4"/>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80" w:type="dxa"/>
            <w:vAlign w:val="bottom"/>
          </w:tcPr>
          <w:p>
            <w:pPr>
              <w:spacing w:after="0"/>
              <w:rPr>
                <w:sz w:val="16"/>
                <w:szCs w:val="16"/>
                <w:color w:val="auto"/>
              </w:rPr>
            </w:pPr>
          </w:p>
        </w:tc>
      </w:tr>
      <w:tr>
        <w:trPr>
          <w:trHeight w:val="232"/>
        </w:trPr>
        <w:tc>
          <w:tcPr>
            <w:tcW w:w="39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tcBorders>
              <w:bottom w:val="single" w:sz="8" w:color="auto"/>
            </w:tcBorders>
          </w:tcPr>
          <w:p>
            <w:pPr>
              <w:spacing w:after="0"/>
              <w:rPr>
                <w:sz w:val="20"/>
                <w:szCs w:val="20"/>
                <w:color w:val="auto"/>
              </w:rPr>
            </w:pPr>
          </w:p>
        </w:tc>
      </w:tr>
      <w:tr>
        <w:trPr>
          <w:trHeight w:val="218"/>
        </w:trPr>
        <w:tc>
          <w:tcPr>
            <w:tcW w:w="3940" w:type="dxa"/>
            <w:vAlign w:val="bottom"/>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5"/>
        </w:trPr>
        <w:tc>
          <w:tcPr>
            <w:tcW w:w="3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gridSpan w:val="3"/>
          </w:tcPr>
          <w:p>
            <w:pPr>
              <w:jc w:val="right"/>
              <w:ind w:right="5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Cost of revenue</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22"/>
        </w:trPr>
        <w:tc>
          <w:tcPr>
            <w:tcW w:w="3940" w:type="dxa"/>
            <w:vAlign w:val="bottom"/>
          </w:tcPr>
          <w:p>
            <w:pPr>
              <w:ind w:left="32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(4)</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178.9</w:t>
            </w:r>
          </w:p>
        </w:tc>
      </w:tr>
      <w:tr>
        <w:trPr>
          <w:trHeight w:val="222"/>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Sales and marketing</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22"/>
        </w:trPr>
        <w:tc>
          <w:tcPr>
            <w:tcW w:w="3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4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260.8</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255.1</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140" w:hanging="135"/>
        <w:spacing w:after="0"/>
        <w:tabs>
          <w:tab w:leader="none" w:pos="14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expenses related to our 2023 reduction in workforce such as severance, benefits and other related items during the three and nine months ended September 30, 2023.</w:t>
      </w:r>
    </w:p>
    <w:p>
      <w:pPr>
        <w:spacing w:after="0" w:line="222" w:lineRule="exact"/>
        <w:rPr>
          <w:rFonts w:ascii="Times New Roman" w:cs="Times New Roman" w:eastAsia="Times New Roman" w:hAnsi="Times New Roman"/>
          <w:sz w:val="17"/>
          <w:szCs w:val="17"/>
          <w:color w:val="auto"/>
          <w:vertAlign w:val="superscript"/>
        </w:rPr>
      </w:pPr>
    </w:p>
    <w:p>
      <w:pPr>
        <w:ind w:left="140" w:hanging="135"/>
        <w:spacing w:after="0"/>
        <w:tabs>
          <w:tab w:leader="none" w:pos="14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impairment charges related to real estate assets as a result of our Virtual First work model.</w:t>
      </w:r>
    </w:p>
    <w:p>
      <w:pPr>
        <w:spacing w:after="0" w:line="209" w:lineRule="exact"/>
        <w:rPr>
          <w:rFonts w:ascii="Times New Roman" w:cs="Times New Roman" w:eastAsia="Times New Roman" w:hAnsi="Times New Roman"/>
          <w:sz w:val="17"/>
          <w:szCs w:val="17"/>
          <w:color w:val="auto"/>
          <w:vertAlign w:val="superscript"/>
        </w:rPr>
      </w:pPr>
    </w:p>
    <w:p>
      <w:pPr>
        <w:ind w:right="120" w:firstLine="5"/>
        <w:spacing w:after="0" w:line="306" w:lineRule="auto"/>
        <w:tabs>
          <w:tab w:leader="none" w:pos="144"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March 15, 2023, our President resigned, resulting in the reversal of $6.7 million in stock-based compensation expense. Of the total amount reversed, $4.4 million related to expense recognized prior to January 1, 2023.</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364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764"/>
        </w:trPr>
        <w:tc>
          <w:tcPr>
            <w:tcW w:w="8640" w:type="dxa"/>
            <w:vAlign w:val="bottom"/>
            <w:gridSpan w:val="13"/>
          </w:tcPr>
          <w:p>
            <w:pPr>
              <w:ind w:left="400"/>
              <w:spacing w:after="0"/>
              <w:rPr>
                <w:sz w:val="20"/>
                <w:szCs w:val="20"/>
                <w:color w:val="auto"/>
              </w:rPr>
            </w:pPr>
            <w:r>
              <w:rPr>
                <w:rFonts w:ascii="Times New Roman" w:cs="Times New Roman" w:eastAsia="Times New Roman" w:hAnsi="Times New Roman"/>
                <w:sz w:val="17"/>
                <w:szCs w:val="17"/>
                <w:color w:val="auto"/>
              </w:rPr>
              <w:t>The following table sets forth our results of operations for each of the periods presented as a percentage of revenue: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0"/>
        </w:trPr>
        <w:tc>
          <w:tcPr>
            <w:tcW w:w="1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5"/>
          </w:tcPr>
          <w:p>
            <w:pPr>
              <w:jc w:val="center"/>
              <w:ind w:left="6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80" w:type="dxa"/>
            <w:vAlign w:val="bottom"/>
          </w:tcPr>
          <w:p>
            <w:pPr>
              <w:spacing w:after="0"/>
              <w:rPr>
                <w:sz w:val="24"/>
                <w:szCs w:val="24"/>
                <w:color w:val="auto"/>
              </w:rPr>
            </w:pPr>
          </w:p>
        </w:tc>
      </w:tr>
      <w:tr>
        <w:trPr>
          <w:trHeight w:val="232"/>
        </w:trPr>
        <w:tc>
          <w:tcPr>
            <w:tcW w:w="13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tcBorders>
              <w:bottom w:val="single" w:sz="8" w:color="auto"/>
            </w:tcBorders>
          </w:tcPr>
          <w:p>
            <w:pPr>
              <w:spacing w:after="0"/>
              <w:rPr>
                <w:sz w:val="20"/>
                <w:szCs w:val="20"/>
                <w:color w:val="auto"/>
              </w:rPr>
            </w:pPr>
          </w:p>
        </w:tc>
      </w:tr>
      <w:tr>
        <w:trPr>
          <w:trHeight w:val="218"/>
        </w:trPr>
        <w:tc>
          <w:tcPr>
            <w:tcW w:w="3760" w:type="dxa"/>
            <w:vAlign w:val="bottom"/>
            <w:gridSpan w:val="2"/>
          </w:tcPr>
          <w:p>
            <w:pPr>
              <w:spacing w:after="0"/>
              <w:rPr>
                <w:sz w:val="18"/>
                <w:szCs w:val="18"/>
                <w:color w:val="auto"/>
              </w:rPr>
            </w:pPr>
          </w:p>
        </w:tc>
        <w:tc>
          <w:tcPr>
            <w:tcW w:w="120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7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5"/>
        </w:trPr>
        <w:tc>
          <w:tcPr>
            <w:tcW w:w="1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7"/>
                <w:szCs w:val="17"/>
                <w:i w:val="1"/>
                <w:iCs w:val="1"/>
                <w:color w:val="auto"/>
              </w:rPr>
              <w:t>(As a % of revenue)*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4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960" w:type="dxa"/>
            <w:vAlign w:val="bottom"/>
            <w:gridSpan w:val="4"/>
          </w:tcPr>
          <w:p>
            <w:pPr>
              <w:ind w:left="38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(1)(2)</w:t>
            </w: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19</w:t>
            </w:r>
          </w:p>
        </w:tc>
      </w:tr>
      <w:tr>
        <w:trPr>
          <w:trHeight w:val="215"/>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83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81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81</w:t>
            </w:r>
          </w:p>
        </w:tc>
      </w:tr>
      <w:tr>
        <w:trPr>
          <w:trHeight w:val="222"/>
        </w:trPr>
        <w:tc>
          <w:tcPr>
            <w:tcW w:w="49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2"/>
        </w:trPr>
        <w:tc>
          <w:tcPr>
            <w:tcW w:w="4960" w:type="dxa"/>
            <w:vAlign w:val="bottom"/>
            <w:gridSpan w:val="4"/>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(1)(2)</w:t>
            </w:r>
          </w:p>
        </w:tc>
        <w:tc>
          <w:tcPr>
            <w:tcW w:w="5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38</w:t>
            </w:r>
          </w:p>
        </w:tc>
      </w:tr>
      <w:tr>
        <w:trPr>
          <w:trHeight w:val="222"/>
        </w:trPr>
        <w:tc>
          <w:tcPr>
            <w:tcW w:w="4960" w:type="dxa"/>
            <w:vAlign w:val="bottom"/>
            <w:gridSpan w:val="4"/>
          </w:tcPr>
          <w:p>
            <w:pPr>
              <w:ind w:left="340"/>
              <w:spacing w:after="0" w:line="222"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2"/>
                <w:szCs w:val="22"/>
                <w:color w:val="auto"/>
                <w:vertAlign w:val="superscript"/>
              </w:rPr>
              <w:t>(1)(2)</w:t>
            </w: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19</w:t>
            </w:r>
          </w:p>
        </w:tc>
      </w:tr>
      <w:tr>
        <w:trPr>
          <w:trHeight w:val="222"/>
        </w:trPr>
        <w:tc>
          <w:tcPr>
            <w:tcW w:w="4960" w:type="dxa"/>
            <w:vAlign w:val="bottom"/>
            <w:gridSpan w:val="4"/>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(1)(2)</w:t>
            </w:r>
          </w:p>
        </w:tc>
        <w:tc>
          <w:tcPr>
            <w:tcW w:w="5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9</w:t>
            </w:r>
          </w:p>
        </w:tc>
      </w:tr>
      <w:tr>
        <w:trPr>
          <w:trHeight w:val="222"/>
        </w:trPr>
        <w:tc>
          <w:tcPr>
            <w:tcW w:w="4960" w:type="dxa"/>
            <w:vAlign w:val="bottom"/>
            <w:gridSpan w:val="4"/>
          </w:tcPr>
          <w:p>
            <w:pPr>
              <w:ind w:left="340"/>
              <w:spacing w:after="0" w:line="222" w:lineRule="exact"/>
              <w:rPr>
                <w:sz w:val="20"/>
                <w:szCs w:val="20"/>
                <w:color w:val="auto"/>
              </w:rPr>
            </w:pPr>
            <w:r>
              <w:rPr>
                <w:rFonts w:ascii="Times New Roman" w:cs="Times New Roman" w:eastAsia="Times New Roman" w:hAnsi="Times New Roman"/>
                <w:sz w:val="17"/>
                <w:szCs w:val="17"/>
                <w:color w:val="auto"/>
              </w:rPr>
              <w:t>Net loss on real estate assets</w:t>
            </w:r>
            <w:r>
              <w:rPr>
                <w:rFonts w:ascii="Times New Roman" w:cs="Times New Roman" w:eastAsia="Times New Roman" w:hAnsi="Times New Roman"/>
                <w:sz w:val="22"/>
                <w:szCs w:val="22"/>
                <w:color w:val="auto"/>
                <w:vertAlign w:val="superscript"/>
              </w:rPr>
              <w:t>(3)</w:t>
            </w:r>
          </w:p>
        </w:tc>
        <w:tc>
          <w:tcPr>
            <w:tcW w:w="1780" w:type="dxa"/>
            <w:vAlign w:val="bottom"/>
            <w:gridSpan w:val="4"/>
          </w:tcPr>
          <w:p>
            <w:pPr>
              <w:jc w:val="right"/>
              <w:ind w:right="140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5"/>
          </w:tcPr>
          <w:p>
            <w:pPr>
              <w:jc w:val="right"/>
              <w:ind w:right="131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3"/>
          </w:tcPr>
          <w:p>
            <w:pPr>
              <w:jc w:val="right"/>
              <w:ind w:right="10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66</w:t>
            </w:r>
          </w:p>
        </w:tc>
      </w:tr>
      <w:tr>
        <w:trPr>
          <w:trHeight w:val="222"/>
        </w:trPr>
        <w:tc>
          <w:tcPr>
            <w:tcW w:w="49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15</w:t>
            </w:r>
          </w:p>
        </w:tc>
      </w:tr>
      <w:tr>
        <w:trPr>
          <w:trHeight w:val="222"/>
        </w:trPr>
        <w:tc>
          <w:tcPr>
            <w:tcW w:w="4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 net</w:t>
            </w:r>
          </w:p>
        </w:tc>
        <w:tc>
          <w:tcPr>
            <w:tcW w:w="5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49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income (loss), net</w:t>
            </w:r>
          </w:p>
        </w:tc>
        <w:tc>
          <w:tcPr>
            <w:tcW w:w="1780" w:type="dxa"/>
            <w:vAlign w:val="bottom"/>
            <w:gridSpan w:val="4"/>
          </w:tcPr>
          <w:p>
            <w:pPr>
              <w:jc w:val="right"/>
              <w:ind w:right="140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5"/>
          </w:tcPr>
          <w:p>
            <w:pPr>
              <w:jc w:val="right"/>
              <w:ind w:right="131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3"/>
          </w:tcPr>
          <w:p>
            <w:pPr>
              <w:jc w:val="right"/>
              <w:ind w:right="10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15</w:t>
            </w:r>
          </w:p>
        </w:tc>
      </w:tr>
      <w:tr>
        <w:trPr>
          <w:trHeight w:val="222"/>
        </w:trPr>
        <w:tc>
          <w:tcPr>
            <w:tcW w:w="49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Provision for from income taxes</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w:t>
            </w:r>
          </w:p>
        </w:tc>
      </w:tr>
      <w:tr>
        <w:trPr>
          <w:trHeight w:val="240"/>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0"/>
        </w:trPr>
        <w:tc>
          <w:tcPr>
            <w:tcW w:w="37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44"/>
        </w:trPr>
        <w:tc>
          <w:tcPr>
            <w:tcW w:w="4960" w:type="dxa"/>
            <w:vAlign w:val="bottom"/>
            <w:gridSpan w:val="4"/>
          </w:tcPr>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Includes stock-based compensation as a percentage of revenue as follows: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0"/>
        </w:trPr>
        <w:tc>
          <w:tcPr>
            <w:tcW w:w="1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5"/>
          </w:tcPr>
          <w:p>
            <w:pPr>
              <w:jc w:val="center"/>
              <w:ind w:left="6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80" w:type="dxa"/>
            <w:vAlign w:val="bottom"/>
          </w:tcPr>
          <w:p>
            <w:pPr>
              <w:spacing w:after="0"/>
              <w:rPr>
                <w:sz w:val="24"/>
                <w:szCs w:val="24"/>
                <w:color w:val="auto"/>
              </w:rPr>
            </w:pPr>
          </w:p>
        </w:tc>
      </w:tr>
      <w:tr>
        <w:trPr>
          <w:trHeight w:val="232"/>
        </w:trPr>
        <w:tc>
          <w:tcPr>
            <w:tcW w:w="13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tcBorders>
              <w:bottom w:val="single" w:sz="8" w:color="auto"/>
            </w:tcBorders>
          </w:tcPr>
          <w:p>
            <w:pPr>
              <w:spacing w:after="0"/>
              <w:rPr>
                <w:sz w:val="20"/>
                <w:szCs w:val="20"/>
                <w:color w:val="auto"/>
              </w:rPr>
            </w:pPr>
          </w:p>
        </w:tc>
      </w:tr>
      <w:tr>
        <w:trPr>
          <w:trHeight w:val="218"/>
        </w:trPr>
        <w:tc>
          <w:tcPr>
            <w:tcW w:w="3780" w:type="dxa"/>
            <w:vAlign w:val="bottom"/>
            <w:gridSpan w:val="3"/>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7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gridSpan w:val="2"/>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5"/>
        </w:trPr>
        <w:tc>
          <w:tcPr>
            <w:tcW w:w="1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gridSpan w:val="5"/>
          </w:tcPr>
          <w:p>
            <w:pPr>
              <w:ind w:left="40"/>
              <w:spacing w:after="0"/>
              <w:rPr>
                <w:sz w:val="20"/>
                <w:szCs w:val="20"/>
                <w:color w:val="auto"/>
              </w:rPr>
            </w:pPr>
            <w:r>
              <w:rPr>
                <w:rFonts w:ascii="Times New Roman" w:cs="Times New Roman" w:eastAsia="Times New Roman" w:hAnsi="Times New Roman"/>
                <w:sz w:val="17"/>
                <w:szCs w:val="17"/>
                <w:i w:val="1"/>
                <w:iCs w:val="1"/>
                <w:color w:val="auto"/>
              </w:rPr>
              <w:t>(As a % of revenue)*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49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2"/>
        </w:trPr>
        <w:tc>
          <w:tcPr>
            <w:tcW w:w="4960" w:type="dxa"/>
            <w:vAlign w:val="bottom"/>
            <w:gridSpan w:val="4"/>
          </w:tcPr>
          <w:p>
            <w:pPr>
              <w:ind w:left="34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(4)</w:t>
            </w: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w:t>
            </w:r>
          </w:p>
        </w:tc>
      </w:tr>
      <w:tr>
        <w:trPr>
          <w:trHeight w:val="222"/>
        </w:trPr>
        <w:tc>
          <w:tcPr>
            <w:tcW w:w="49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5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496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w:t>
            </w:r>
          </w:p>
        </w:tc>
      </w:tr>
      <w:tr>
        <w:trPr>
          <w:trHeight w:val="240"/>
        </w:trPr>
        <w:tc>
          <w:tcPr>
            <w:tcW w:w="37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140" w:hanging="135"/>
        <w:spacing w:after="0"/>
        <w:tabs>
          <w:tab w:leader="none" w:pos="14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expenses related to our 2023 reduction in workforce such as severance, benefits and other related items during the three and nine months ended September 30, 2023.</w:t>
      </w:r>
    </w:p>
    <w:p>
      <w:pPr>
        <w:spacing w:after="0" w:line="222" w:lineRule="exact"/>
        <w:rPr>
          <w:rFonts w:ascii="Times New Roman" w:cs="Times New Roman" w:eastAsia="Times New Roman" w:hAnsi="Times New Roman"/>
          <w:sz w:val="17"/>
          <w:szCs w:val="17"/>
          <w:color w:val="auto"/>
          <w:vertAlign w:val="superscript"/>
        </w:rPr>
      </w:pPr>
    </w:p>
    <w:p>
      <w:pPr>
        <w:ind w:left="140" w:hanging="135"/>
        <w:spacing w:after="0"/>
        <w:tabs>
          <w:tab w:leader="none" w:pos="14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impairment charges related to real estate assets as a result of the our Virtual First work model.</w:t>
      </w:r>
    </w:p>
    <w:p>
      <w:pPr>
        <w:spacing w:after="0" w:line="222" w:lineRule="exact"/>
        <w:rPr>
          <w:rFonts w:ascii="Times New Roman" w:cs="Times New Roman" w:eastAsia="Times New Roman" w:hAnsi="Times New Roman"/>
          <w:sz w:val="17"/>
          <w:szCs w:val="17"/>
          <w:color w:val="auto"/>
          <w:vertAlign w:val="superscript"/>
        </w:rPr>
      </w:pPr>
    </w:p>
    <w:p>
      <w:pPr>
        <w:ind w:right="120" w:firstLine="5"/>
        <w:spacing w:after="0" w:line="327" w:lineRule="auto"/>
        <w:tabs>
          <w:tab w:leader="none" w:pos="144"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March 15, 2023, our President resigned, resulting in the reversal of $6.7 million in stock-based compensation expense. Of the total amount reversed, $4.4 million related to expense recognized prior to January 1,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Percentages may not foot due to rounding.</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3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764"/>
        </w:trPr>
        <w:tc>
          <w:tcPr>
            <w:tcW w:w="602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September 30, 2024 and 2023</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4"/>
        </w:trPr>
        <w:tc>
          <w:tcPr>
            <w:tcW w:w="13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3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0"/>
        </w:trPr>
        <w:tc>
          <w:tcPr>
            <w:tcW w:w="13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2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13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4700" w:type="dxa"/>
            <w:vAlign w:val="bottom"/>
            <w:gridSpan w:val="2"/>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638.8</w:t>
            </w:r>
          </w:p>
        </w:tc>
        <w:tc>
          <w:tcPr>
            <w:tcW w:w="9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0.9 %</w:t>
            </w:r>
          </w:p>
        </w:tc>
      </w:tr>
    </w:tbl>
    <w:p>
      <w:pPr>
        <w:spacing w:after="0" w:line="295"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Revenue increased $5.8 million or 0.9% during the three months ended September 30, 2024, as compared to the three months ended September 30, 2023 primarily due to an increase in paying users and an increased mix of sales towards our higher priced plans, as well as a shift to monthly subscription plans, which have a higher price point than our annual plans, which together contributed to an increase of $5.9 million in revenue. In addition, revenue was negatively impacted by $0.1 million from changes in foreign exchange rates across multiple currencies.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8"/>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4"/>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9"/>
        </w:trPr>
        <w:tc>
          <w:tcPr>
            <w:tcW w:w="4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1"/>
        </w:trPr>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Pr>
          <w:p>
            <w:pPr>
              <w:spacing w:after="0"/>
              <w:rPr>
                <w:sz w:val="19"/>
                <w:szCs w:val="19"/>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4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49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111.5</w:t>
            </w:r>
          </w:p>
        </w:tc>
        <w:tc>
          <w:tcPr>
            <w:tcW w:w="5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Pr>
          <w:p>
            <w:pPr>
              <w:spacing w:after="0"/>
              <w:rPr>
                <w:sz w:val="19"/>
                <w:szCs w:val="19"/>
                <w:color w:val="auto"/>
              </w:rPr>
            </w:pP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527.3</w:t>
            </w:r>
          </w:p>
        </w:tc>
        <w:tc>
          <w:tcPr>
            <w:tcW w:w="58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513.4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308" w:lineRule="exact"/>
        <w:rPr>
          <w:sz w:val="20"/>
          <w:szCs w:val="20"/>
          <w:color w:val="auto"/>
        </w:rPr>
      </w:pPr>
    </w:p>
    <w:p>
      <w:pPr>
        <w:ind w:right="40" w:firstLine="392"/>
        <w:spacing w:after="0" w:line="276" w:lineRule="auto"/>
        <w:rPr>
          <w:sz w:val="20"/>
          <w:szCs w:val="20"/>
          <w:color w:val="auto"/>
        </w:rPr>
      </w:pPr>
      <w:r>
        <w:rPr>
          <w:rFonts w:ascii="Times New Roman" w:cs="Times New Roman" w:eastAsia="Times New Roman" w:hAnsi="Times New Roman"/>
          <w:sz w:val="17"/>
          <w:szCs w:val="17"/>
          <w:color w:val="auto"/>
        </w:rPr>
        <w:t>Cost of revenue decreased $8.1 million or 6.8% during the three months ended September 30, 2024, as compared to the three months ended September 30, 2023, primarily due to decreases of $7.1 million in infrastructure costs, primarily as a result of the change in useful lives from 4 to 5 years for certain infrastructure and component assets, and $1.5 million in outside services.</w:t>
      </w:r>
    </w:p>
    <w:p>
      <w:pPr>
        <w:spacing w:after="0" w:line="188"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Our gross margin increased during the three months ended September 30, 2024 compared to the three months ended September 30, 2023, primarily due to a 0.9% increase in revenue during the period and a 6.8% decrease in our cost of revenue as described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Research and development</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0"/>
        </w:trPr>
        <w:tc>
          <w:tcPr>
            <w:tcW w:w="5120" w:type="dxa"/>
            <w:vAlign w:val="bottom"/>
          </w:tcPr>
          <w:p>
            <w:pPr>
              <w:spacing w:after="0"/>
              <w:rPr>
                <w:sz w:val="24"/>
                <w:szCs w:val="24"/>
                <w:color w:val="auto"/>
              </w:rPr>
            </w:pPr>
          </w:p>
        </w:tc>
        <w:tc>
          <w:tcPr>
            <w:tcW w:w="242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5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225.7</w:t>
            </w:r>
          </w:p>
        </w:tc>
        <w:tc>
          <w:tcPr>
            <w:tcW w:w="9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r>
    </w:tbl>
    <w:p>
      <w:pPr>
        <w:spacing w:after="0" w:line="308"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Research and development expenses increased $9.3 million or 4.3% during the three months ended September 30, 2024, as compared to the three months ended September 30, 2023, primarily due to an increase of $12.5 million in employee-related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Sales and marketing</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8"/>
        </w:trPr>
        <w:tc>
          <w:tcPr>
            <w:tcW w:w="5120" w:type="dxa"/>
            <w:vAlign w:val="bottom"/>
          </w:tcPr>
          <w:p>
            <w:pPr>
              <w:spacing w:after="0"/>
              <w:rPr>
                <w:sz w:val="24"/>
                <w:szCs w:val="24"/>
                <w:color w:val="auto"/>
              </w:rPr>
            </w:pPr>
          </w:p>
        </w:tc>
        <w:tc>
          <w:tcPr>
            <w:tcW w:w="242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110.5</w:t>
            </w:r>
          </w:p>
        </w:tc>
        <w:tc>
          <w:tcPr>
            <w:tcW w:w="9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Sales and marketing expenses increased $4.2 million or 4.0% during the three months ended September 30, 2024, as compared to the three months ended September 30, 2023, primarily due to an increase of $4.1 million related to advertising and other marketing related expenses.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96"/>
        </w:trPr>
        <w:tc>
          <w:tcPr>
            <w:tcW w:w="5140" w:type="dxa"/>
            <w:vAlign w:val="bottom"/>
          </w:tcPr>
          <w:p>
            <w:pPr>
              <w:spacing w:after="0"/>
              <w:rPr>
                <w:sz w:val="17"/>
                <w:szCs w:val="17"/>
                <w:color w:val="auto"/>
              </w:rPr>
            </w:pPr>
          </w:p>
        </w:tc>
        <w:tc>
          <w:tcPr>
            <w:tcW w:w="2460" w:type="dxa"/>
            <w:vAlign w:val="bottom"/>
            <w:gridSpan w:val="3"/>
          </w:tcPr>
          <w:p>
            <w:pPr>
              <w:jc w:val="center"/>
              <w:ind w:left="3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5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37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center"/>
              <w:ind w:right="3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63.3</w:t>
            </w:r>
          </w:p>
        </w:tc>
        <w:tc>
          <w:tcPr>
            <w:tcW w:w="10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r>
    </w:tbl>
    <w:p>
      <w:pPr>
        <w:spacing w:after="0" w:line="308"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General and administrative expenses increased $3.3 million or 5.5% during the three months ended September 30, 2024, as compared to the three months ended September 30, 2023, primarily due to an increase of $3.1 million in outside services.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Net loss on real estate assets</w:t>
      </w:r>
    </w:p>
    <w:p>
      <w:pPr>
        <w:spacing w:after="0" w:line="258"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130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9"/>
                <w:szCs w:val="19"/>
                <w:color w:val="auto"/>
              </w:rPr>
            </w:pPr>
          </w:p>
        </w:tc>
        <w:tc>
          <w:tcPr>
            <w:tcW w:w="1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5"/>
        </w:trPr>
        <w:tc>
          <w:tcPr>
            <w:tcW w:w="4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
        </w:trPr>
        <w:tc>
          <w:tcPr>
            <w:tcW w:w="4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5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on real estate assets</w:t>
            </w: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w:t>
            </w:r>
          </w:p>
        </w:tc>
        <w:tc>
          <w:tcPr>
            <w:tcW w:w="14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  $</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 %</w:t>
            </w:r>
          </w:p>
        </w:tc>
      </w:tr>
    </w:tbl>
    <w:p>
      <w:pPr>
        <w:spacing w:after="0" w:line="282" w:lineRule="exact"/>
        <w:rPr>
          <w:sz w:val="20"/>
          <w:szCs w:val="20"/>
          <w:color w:val="auto"/>
        </w:rPr>
      </w:pPr>
    </w:p>
    <w:p>
      <w:pPr>
        <w:ind w:right="180" w:firstLine="431"/>
        <w:spacing w:after="0" w:line="279" w:lineRule="auto"/>
        <w:rPr>
          <w:sz w:val="20"/>
          <w:szCs w:val="20"/>
          <w:color w:val="auto"/>
        </w:rPr>
      </w:pPr>
      <w:r>
        <w:rPr>
          <w:rFonts w:ascii="Times New Roman" w:cs="Times New Roman" w:eastAsia="Times New Roman" w:hAnsi="Times New Roman"/>
          <w:sz w:val="17"/>
          <w:szCs w:val="17"/>
          <w:color w:val="auto"/>
        </w:rPr>
        <w:t>The Company did not record any gain or losses on real estate assets during the three months ended September 30, 2024 and 2023, related to right-of-use and other lease related property and equipment assets, in conjunction with our Virtual First model.</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Interest income, net</w:t>
      </w:r>
    </w:p>
    <w:p>
      <w:pPr>
        <w:spacing w:after="0" w:line="251"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Interest income, net decreased by $1.2 million during the three months ended September 30, 2024, as compared to the three months ended September 30, 2023, primarily due to higher interest expense for our finance leases as a result of interest rate increases.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Other income (loss), net</w:t>
      </w:r>
    </w:p>
    <w:p>
      <w:pPr>
        <w:spacing w:after="0" w:line="251"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Other income (loss), net increased by $1.3 million during the three months ended September 30, 2024, as compared to the three months ended September 30, 2023, primarily due to a $0.4 million gain from sales of retired infrastructure assets, and a $0.3 million increase in foreign currency transaction gains.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Provision for income taxes</w:t>
      </w:r>
    </w:p>
    <w:p>
      <w:pPr>
        <w:spacing w:after="0" w:line="251"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Provision for income taxes increased $4.6 million during the three months ended September 30, 2024, as compared to the three months ended September 30, 2023, primarily due to a larger benefit from tax credits recognized in the prior year.</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3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764"/>
        </w:trPr>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nine months ended September 30, 2024 and 2023</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4"/>
        </w:trPr>
        <w:tc>
          <w:tcPr>
            <w:tcW w:w="13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3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0"/>
        </w:trPr>
        <w:tc>
          <w:tcPr>
            <w:tcW w:w="13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gridSpan w:val="4"/>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Pr>
          <w:p>
            <w:pPr>
              <w:spacing w:after="0"/>
              <w:rPr>
                <w:sz w:val="19"/>
                <w:szCs w:val="19"/>
                <w:color w:val="auto"/>
              </w:rPr>
            </w:pPr>
          </w:p>
        </w:tc>
        <w:tc>
          <w:tcPr>
            <w:tcW w:w="9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13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center"/>
              <w:ind w:left="4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4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1,904.6</w:t>
            </w:r>
          </w:p>
        </w:tc>
        <w:tc>
          <w:tcPr>
            <w:tcW w:w="5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r>
    </w:tbl>
    <w:p>
      <w:pPr>
        <w:spacing w:after="0" w:line="295" w:lineRule="exact"/>
        <w:rPr>
          <w:sz w:val="20"/>
          <w:szCs w:val="20"/>
          <w:color w:val="auto"/>
        </w:rPr>
      </w:pPr>
    </w:p>
    <w:p>
      <w:pPr>
        <w:jc w:val="both"/>
        <w:ind w:right="80" w:firstLine="392"/>
        <w:spacing w:after="0" w:line="269" w:lineRule="auto"/>
        <w:rPr>
          <w:sz w:val="20"/>
          <w:szCs w:val="20"/>
          <w:color w:val="auto"/>
        </w:rPr>
      </w:pPr>
      <w:r>
        <w:rPr>
          <w:rFonts w:ascii="Times New Roman" w:cs="Times New Roman" w:eastAsia="Times New Roman" w:hAnsi="Times New Roman"/>
          <w:sz w:val="17"/>
          <w:szCs w:val="17"/>
          <w:color w:val="auto"/>
        </w:rPr>
        <w:t>Revenue increased $38.0 million or 2.0% during the nine months ended September 30, 2024, as compared to the nine months ended September 30, 2023, primarily due to an increase of $36.6 million due to an increase in paying users and an increased mix of sales towards our higher priced plans, as well as a shift to monthly subscription plans, which have a higher price point than our annual plans. Revenue was positively impacted by $1.4 million from changes in foreign exchange rates across multiple currencies.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8"/>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4"/>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9"/>
        </w:trPr>
        <w:tc>
          <w:tcPr>
            <w:tcW w:w="4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1"/>
        </w:trPr>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Pr>
          <w:p>
            <w:pPr>
              <w:spacing w:after="0"/>
              <w:rPr>
                <w:sz w:val="19"/>
                <w:szCs w:val="19"/>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4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49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324.3</w:t>
            </w:r>
          </w:p>
        </w:tc>
        <w:tc>
          <w:tcPr>
            <w:tcW w:w="6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1,580.3</w:t>
            </w:r>
          </w:p>
        </w:tc>
        <w:tc>
          <w:tcPr>
            <w:tcW w:w="6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1,510.1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4.6 %</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308" w:lineRule="exact"/>
        <w:rPr>
          <w:sz w:val="20"/>
          <w:szCs w:val="20"/>
          <w:color w:val="auto"/>
        </w:rPr>
      </w:pPr>
    </w:p>
    <w:p>
      <w:pPr>
        <w:ind w:right="60" w:firstLine="392"/>
        <w:spacing w:after="0" w:line="276" w:lineRule="auto"/>
        <w:rPr>
          <w:sz w:val="20"/>
          <w:szCs w:val="20"/>
          <w:color w:val="auto"/>
        </w:rPr>
      </w:pPr>
      <w:r>
        <w:rPr>
          <w:rFonts w:ascii="Times New Roman" w:cs="Times New Roman" w:eastAsia="Times New Roman" w:hAnsi="Times New Roman"/>
          <w:sz w:val="17"/>
          <w:szCs w:val="17"/>
          <w:color w:val="auto"/>
        </w:rPr>
        <w:t>Cost of revenue decreased $32.2 million or 9.0% during the nine months ended September 30, 2024, as compared to the nine months ended September 30, 2023, primarily due to decreases of $24.5 million in infrastructure costs, primarily as a result of the change in useful lives from 4 to 5 years for certain infrastructure and component assets, $4.0 million in employee-related costs, and $3.6 million in outside services.</w:t>
      </w:r>
    </w:p>
    <w:p>
      <w:pPr>
        <w:spacing w:after="0" w:line="188"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Our gross margin increased during the nine months ended September 30, 2024 compared to the nine months ended September 30, 2023, primarily due to a 2.0% increase in revenue during the period and a 9.0% decrease in our cost of revenue as described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Research and development</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0"/>
        </w:trPr>
        <w:tc>
          <w:tcPr>
            <w:tcW w:w="5120" w:type="dxa"/>
            <w:vAlign w:val="bottom"/>
          </w:tcPr>
          <w:p>
            <w:pPr>
              <w:spacing w:after="0"/>
              <w:rPr>
                <w:sz w:val="24"/>
                <w:szCs w:val="24"/>
                <w:color w:val="auto"/>
              </w:rPr>
            </w:pPr>
          </w:p>
        </w:tc>
        <w:tc>
          <w:tcPr>
            <w:tcW w:w="242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5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671.9</w:t>
            </w:r>
          </w:p>
        </w:tc>
        <w:tc>
          <w:tcPr>
            <w:tcW w:w="9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bl>
    <w:p>
      <w:pPr>
        <w:spacing w:after="0" w:line="308"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Research and development expenses decreased $42.5 million or 5.9% during the nine months ended September 30, 2024, as compared to the nine months ended September 30, 2023, primarily due to decreases of $34.3 million in employee-related costs and $7.7 million in allocated overhead.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Sales and marketing</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8"/>
        </w:trPr>
        <w:tc>
          <w:tcPr>
            <w:tcW w:w="5120" w:type="dxa"/>
            <w:vAlign w:val="bottom"/>
          </w:tcPr>
          <w:p>
            <w:pPr>
              <w:spacing w:after="0"/>
              <w:rPr>
                <w:sz w:val="24"/>
                <w:szCs w:val="24"/>
                <w:color w:val="auto"/>
              </w:rPr>
            </w:pPr>
          </w:p>
        </w:tc>
        <w:tc>
          <w:tcPr>
            <w:tcW w:w="242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331.8</w:t>
            </w:r>
          </w:p>
        </w:tc>
        <w:tc>
          <w:tcPr>
            <w:tcW w:w="9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Sales and marketing expenses decreased $14.6 million or 4.2% during the nine months ended September 30, 2024, as compared to the nine months ended September 30, 2023, primarily due to a decrease of $22.2 million in employee-related costs. This decrease was partially offset by an increase of $5.8 million related to advertising and other marketing related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96"/>
        </w:trPr>
        <w:tc>
          <w:tcPr>
            <w:tcW w:w="5120" w:type="dxa"/>
            <w:vAlign w:val="bottom"/>
          </w:tcPr>
          <w:p>
            <w:pPr>
              <w:spacing w:after="0"/>
              <w:rPr>
                <w:sz w:val="17"/>
                <w:szCs w:val="17"/>
                <w:color w:val="auto"/>
              </w:rPr>
            </w:pPr>
          </w:p>
        </w:tc>
        <w:tc>
          <w:tcPr>
            <w:tcW w:w="242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5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2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29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0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178.3</w:t>
            </w:r>
          </w:p>
        </w:tc>
        <w:tc>
          <w:tcPr>
            <w:tcW w:w="9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r>
    </w:tbl>
    <w:p>
      <w:pPr>
        <w:spacing w:after="0" w:line="308" w:lineRule="exact"/>
        <w:rPr>
          <w:sz w:val="20"/>
          <w:szCs w:val="20"/>
          <w:color w:val="auto"/>
        </w:rPr>
      </w:pPr>
    </w:p>
    <w:p>
      <w:pPr>
        <w:ind w:right="220" w:firstLine="392"/>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increased $2.5 million or 1.4% during the nine months ended September 30, 2024, as compared to the nine months ended September 30, 2023, primarily due to increases of $1.9 million in outside services and $2.8 million in non-income based taxes. These increases were partially offset by a decrease of $2.1 million in employee-related cost.</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Net loss on real estate assets</w:t>
      </w:r>
    </w:p>
    <w:p>
      <w:pPr>
        <w:spacing w:after="0" w:line="258"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jc w:val="center"/>
        <w:ind w:left="130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5"/>
        </w:trPr>
        <w:tc>
          <w:tcPr>
            <w:tcW w:w="4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gridSpan w:val="3"/>
          </w:tcPr>
          <w:p>
            <w:pPr>
              <w:jc w:val="right"/>
              <w:ind w:right="69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
        </w:trPr>
        <w:tc>
          <w:tcPr>
            <w:tcW w:w="4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5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on real estate assets</w:t>
            </w: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3"/>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82" w:lineRule="exact"/>
        <w:rPr>
          <w:sz w:val="20"/>
          <w:szCs w:val="20"/>
          <w:color w:val="auto"/>
        </w:rPr>
      </w:pPr>
    </w:p>
    <w:p>
      <w:pPr>
        <w:jc w:val="both"/>
        <w:ind w:right="240" w:firstLine="431"/>
        <w:spacing w:after="0" w:line="279" w:lineRule="auto"/>
        <w:rPr>
          <w:sz w:val="20"/>
          <w:szCs w:val="20"/>
          <w:color w:val="auto"/>
        </w:rPr>
      </w:pPr>
      <w:r>
        <w:rPr>
          <w:rFonts w:ascii="Times New Roman" w:cs="Times New Roman" w:eastAsia="Times New Roman" w:hAnsi="Times New Roman"/>
          <w:sz w:val="17"/>
          <w:szCs w:val="17"/>
          <w:color w:val="auto"/>
        </w:rPr>
        <w:t>Net loss on real estate assets was $2.2 million during the nine months ended September 30, 2023 related to right-of-use and other lease related property and equipment assets, in conjunction with our Virtual First model. There were no similar charges during the nine months ended September 30, 2024.</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Interest income, net</w:t>
      </w:r>
    </w:p>
    <w:p>
      <w:pPr>
        <w:spacing w:after="0" w:line="251"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Interest income, net increased by $3.2 million during the nine months ended September 30, 2024, as compared to the nine months ended September 30, 2023, primarily due to increased investments in money market funds offset by higher interest expense for our finance leases as a result of interest rate increases.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Other income (loss), net</w:t>
      </w:r>
    </w:p>
    <w:p>
      <w:pPr>
        <w:spacing w:after="0" w:line="251" w:lineRule="exact"/>
        <w:rPr>
          <w:sz w:val="20"/>
          <w:szCs w:val="20"/>
          <w:color w:val="auto"/>
        </w:rPr>
      </w:pPr>
    </w:p>
    <w:p>
      <w:pPr>
        <w:jc w:val="both"/>
        <w:ind w:right="220" w:firstLine="392"/>
        <w:spacing w:after="0" w:line="276" w:lineRule="auto"/>
        <w:rPr>
          <w:sz w:val="20"/>
          <w:szCs w:val="20"/>
          <w:color w:val="auto"/>
        </w:rPr>
      </w:pPr>
      <w:r>
        <w:rPr>
          <w:rFonts w:ascii="Times New Roman" w:cs="Times New Roman" w:eastAsia="Times New Roman" w:hAnsi="Times New Roman"/>
          <w:sz w:val="17"/>
          <w:szCs w:val="17"/>
          <w:color w:val="auto"/>
        </w:rPr>
        <w:t>Other income (loss), net increased by $5.1 million during the nine months ended September 30, 2024, as compared to the nine months ended September 30, 2023, primarily due to a $2.4 million reduction in losses on investments, a $1.8 million gain from sales of retired infrastructure assets, and a $0.6 million increase in foreign currency transaction gains.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Provision for income taxes</w:t>
      </w:r>
    </w:p>
    <w:p>
      <w:pPr>
        <w:spacing w:after="0" w:line="251"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Provision for income taxes increased $12.1 million during the nine months ended September 30, 2024, as compared to the nine months ended September 30, 2023, primarily due to the impact of our 2023 reduction in workforce on prior year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1"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As of September 30, 2024, we had cash and cash equivalents of $517.6 million and short-term investments of $373.2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September 30, 2024, $387.1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types. We believe these policies mitigate our exposure to risk concentrations.</w:t>
      </w:r>
    </w:p>
    <w:p>
      <w:pPr>
        <w:spacing w:after="0" w:line="10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We have historically financed our operations primarily through cash generated from our operations, the issuance of the Notes,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also have a $500.0 million credit facility for additional working capital flexibility, as described below.</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February 2021, we issued approximately $1.4 billion in aggregate principal amount of convertible senior notes (the "Notes"), comprised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$695.8 million in aggregate principal amount of 2026 Notes and $693.3 million in aggregate principal amount of 2028 Notes. The net proceeds from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of the 2026 Notes and 2028 Notes were $684.8 million, net of debt issuance costs, and $682.3 million, net of debt issuance costs, respectively.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2026 Notes mature on March 1, 2026 and the 2028 Notes mature on March 1, 2028. The Notes of each series do not bear regular interest and the principal does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accrete. The Notes of each series may bear special interest as the remedy relating to our failure to comply with certain of our reporting obligations. These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can be converted or repurchased prior to maturity if certain conditions are met.</w:t>
      </w:r>
    </w:p>
    <w:p>
      <w:pPr>
        <w:spacing w:after="0" w:line="126" w:lineRule="exact"/>
        <w:rPr>
          <w:sz w:val="20"/>
          <w:szCs w:val="20"/>
          <w:color w:val="auto"/>
        </w:rPr>
      </w:pPr>
    </w:p>
    <w:p>
      <w:pPr>
        <w:ind w:right="40" w:firstLine="392"/>
        <w:spacing w:after="0" w:line="260" w:lineRule="auto"/>
        <w:rPr>
          <w:sz w:val="20"/>
          <w:szCs w:val="20"/>
          <w:color w:val="auto"/>
        </w:rPr>
      </w:pPr>
      <w:r>
        <w:rPr>
          <w:rFonts w:ascii="Times New Roman" w:cs="Times New Roman" w:eastAsia="Times New Roman" w:hAnsi="Times New Roman"/>
          <w:sz w:val="17"/>
          <w:szCs w:val="17"/>
          <w:color w:val="auto"/>
        </w:rPr>
        <w:t>Our principal uses of cash in recent periods have been funding our operations, repurchases of our Class A common stock, purchases of short-term investments, the satisfaction of tax withholding obligations in connection with the settlement of restricted stock units and awards, making principal payments on our finance lease obligations, and capital expenditures. In February 2022, our Board of Directors authorized the repurchase of up to $1.2 billion of the outstanding shares of our Class A common stock. In July 2023, our Board of Directors authorized the repurchase of up to an additional $1.2 billion of the outstanding shares of our Class A common stock. We completed the February 2022 authorization of $1.2 billion during the three months ended March 31, 2024 and have continued stock repurchases under the July 2023 authorization. Share repurchases are made from time-to-time in private transactions or open market purchases as permitted by securities laws and other legal requirements and are subject to a review of the circumstances in place at that time, including prevailing market prices. The program does not obligate us to repurchase any specific number of shares and has no specified time limit; it may be discontinued at any time. During the three and nine months ended September 30, 2024, we repurchased and subsequently retired 14.6 million and 37.0 million shares, respectively, of our Class A common stock for an aggregate amount of $351.8 million and $895.6 million, respectively. The 1% excise tax imposed as part of the Inflation Reduction Act is included in the cost of treasury stock acquired pursuant to common share repurchases. The pace of our share repurchases may fluctuate due to various circumstances, including market conditions and our stock price.</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April 2017, we entered into a $600.0 million credit facility with a syndicate of financial institutions, which we subsequently amended in February 2018,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2021, and March 2023. Pursuant to the terms of the revolving credit facility, as amended, we may issue letters of credit under the revolving credit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facility, which reduce the total amount available for borrowing under such facility. The amended revolving credit facility, among other things, permits us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make certain investments, and enter into an unsecured standby letter of credit facility. Our borrowing capacity under the amended revolving credit facility 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$500.0 million and the letter of credit sublimit is $65.0 million. We may from time-to-time request increases in the borrowing capacity under the revolving credit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facility of up to $250.0 million, provided no event of default has occurred or is continuing or would result from such increase. In March 2023, we amended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revolving credit facility to update our borrowing benchmark from LIBOR to SOFR. The revolving credit facility terminates on February 23, 2026.</w:t>
      </w:r>
    </w:p>
    <w:p>
      <w:pPr>
        <w:spacing w:after="0" w:line="139" w:lineRule="exact"/>
        <w:rPr>
          <w:sz w:val="20"/>
          <w:szCs w:val="20"/>
          <w:color w:val="auto"/>
        </w:rPr>
      </w:pPr>
    </w:p>
    <w:p>
      <w:pPr>
        <w:ind w:right="440" w:firstLine="392"/>
        <w:spacing w:after="0" w:line="267" w:lineRule="auto"/>
        <w:rPr>
          <w:sz w:val="20"/>
          <w:szCs w:val="20"/>
          <w:color w:val="auto"/>
        </w:rPr>
      </w:pPr>
      <w:r>
        <w:rPr>
          <w:rFonts w:ascii="Times New Roman" w:cs="Times New Roman" w:eastAsia="Times New Roman" w:hAnsi="Times New Roman"/>
          <w:sz w:val="17"/>
          <w:szCs w:val="17"/>
          <w:color w:val="auto"/>
        </w:rPr>
        <w:t>Interest on borrowings under the revolving credit facility accrues at a variable rate tied to SOFR or an alternative base rate, at our election. Interest is payable quarterly in arrears. Pursuant to the terms of the revolving credit facility, we are required to pay an annual commitment fee that accrues at a rate of</w:t>
      </w:r>
    </w:p>
    <w:p>
      <w:pPr>
        <w:spacing w:after="0" w:line="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0.20% per annum on the unused portion of the borrowing commitments under the revolving credit facility. In addition, we are required to pay a fee in connection with letters of credit issued under the revolving credit facility that accrues at a rate of 1.375% per annum on the amount of such letters of credit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outstanding. There is an additional fronting fee of 0.125% per annum multiplied by the average aggregate daily maximum amount available under all letters of credit.</w:t>
      </w:r>
    </w:p>
    <w:p>
      <w:pPr>
        <w:spacing w:after="0" w:line="81"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incurrence covenant and a minimum liquidity balance. We were in compliance with all covenants under the revolving credit facility as of September 30, 2024.</w:t>
      </w:r>
    </w:p>
    <w:p>
      <w:pPr>
        <w:spacing w:after="0" w:line="91"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As of September 30, 2024, we had no amounts outstanding under the revolving credit facility and an aggregate of $30.5 million in letters of credit issued under the revolving credit facility. Our total available borrowing capacity under the revolving credit facility was $469.5 million as of September 30, 2024.</w:t>
      </w:r>
    </w:p>
    <w:p>
      <w:pPr>
        <w:spacing w:after="0" w:line="81" w:lineRule="exact"/>
        <w:rPr>
          <w:sz w:val="20"/>
          <w:szCs w:val="20"/>
          <w:color w:val="auto"/>
        </w:rPr>
      </w:pPr>
    </w:p>
    <w:p>
      <w:pPr>
        <w:ind w:right="40" w:firstLine="392"/>
        <w:spacing w:after="0" w:line="276" w:lineRule="auto"/>
        <w:rPr>
          <w:sz w:val="20"/>
          <w:szCs w:val="20"/>
          <w:color w:val="auto"/>
        </w:rPr>
      </w:pPr>
      <w:r>
        <w:rPr>
          <w:rFonts w:ascii="Times New Roman" w:cs="Times New Roman" w:eastAsia="Times New Roman" w:hAnsi="Times New Roman"/>
          <w:sz w:val="17"/>
          <w:szCs w:val="17"/>
          <w:color w:val="auto"/>
        </w:rPr>
        <w:t>As of September 30, 2024, we have utilized a significant portion of our U.S. federal, state and foreign net operating losses. Future utilization of remaining net operating loss and research credit carryforwards are subject to statutory limits. Accordingly, we expect our cash tax obligations will increase in the foreseeable future.</w:t>
      </w:r>
    </w:p>
    <w:p>
      <w:pPr>
        <w:spacing w:after="0" w:line="188"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We believe our existing cash and cash equivalents, together with our short-term investments, cash provided by operations and amounts available under the revolving credit facility, will be sufficient to meet our needs for the foreseeable future. As of September 30, 2024, our principal commitments consist of obligations under the Notes, and cash commitments due to additional known contractual obligations.</w:t>
      </w:r>
    </w:p>
    <w:p>
      <w:pPr>
        <w:spacing w:after="0" w:line="188"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infrastructure equipment to support our user base,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timing, and amount of our share repurchases. In addition, we have and may in the future enter into arrangements to acquire or invest in complementary businesses, services, and technologies, including intellectual property rights. In light of all of these circumstances, we may be required to seek additional equity or debt financing, or we may decide to do so opportunistically. In the event that additional financing is required or desired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cash flow activities were as follows for the periods presented:</w:t>
      </w:r>
    </w:p>
    <w:p>
      <w:pPr>
        <w:spacing w:after="0" w:line="191"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7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8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583.4</w:t>
            </w:r>
          </w:p>
        </w:tc>
      </w:tr>
      <w:tr>
        <w:trPr>
          <w:trHeight w:val="222"/>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417.2</w:t>
            </w: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(627.2)</w:t>
            </w:r>
          </w:p>
        </w:tc>
      </w:tr>
      <w:tr>
        <w:trPr>
          <w:trHeight w:val="222"/>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4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371.5</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61"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and depreciation and amortization expenses, as well as the effect of changes in operating assets and liabilities.</w:t>
      </w:r>
    </w:p>
    <w:p>
      <w:pPr>
        <w:spacing w:after="0" w:line="91" w:lineRule="exact"/>
        <w:rPr>
          <w:sz w:val="20"/>
          <w:szCs w:val="20"/>
          <w:color w:val="auto"/>
        </w:rPr>
      </w:pPr>
    </w:p>
    <w:p>
      <w:pPr>
        <w:ind w:right="20" w:firstLine="392"/>
        <w:spacing w:after="0" w:line="248" w:lineRule="auto"/>
        <w:rPr>
          <w:sz w:val="20"/>
          <w:szCs w:val="20"/>
          <w:color w:val="auto"/>
        </w:rPr>
      </w:pPr>
      <w:r>
        <w:rPr>
          <w:rFonts w:ascii="Times New Roman" w:cs="Times New Roman" w:eastAsia="Times New Roman" w:hAnsi="Times New Roman"/>
          <w:sz w:val="17"/>
          <w:szCs w:val="17"/>
          <w:color w:val="auto"/>
        </w:rPr>
        <w:t>For the nine months ended September 30, 2024, net cash provided by operating activities was $680.3 million, which primarily consisted of our net income of $349.5 million, adjusted for stock-based compensation expense of $260.8 million, depreciation and amortization expenses of $99.1 million, and net cash outflow of $80.0 million from operating assets and liabilities. The outflow from operating assets and liabilities was primarily due to the payment of our corporate bonus and the</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7"/>
          <w:szCs w:val="17"/>
          <w:color w:val="auto"/>
        </w:rPr>
        <w:t>payment for the second tranche termination fee for the partial termination of our lease for our San Francisco, California corporate headquarters, offset by an increase in deferred revenue from increased subscription sales, as a majority of our paying users are invoiced in advance.</w:t>
      </w:r>
    </w:p>
    <w:p>
      <w:pPr>
        <w:spacing w:after="0" w:line="173" w:lineRule="exact"/>
        <w:rPr>
          <w:sz w:val="20"/>
          <w:szCs w:val="20"/>
          <w:color w:val="auto"/>
        </w:rPr>
      </w:pPr>
    </w:p>
    <w:p>
      <w:pPr>
        <w:ind w:right="20" w:firstLine="392"/>
        <w:spacing w:after="0" w:line="260" w:lineRule="auto"/>
        <w:rPr>
          <w:sz w:val="20"/>
          <w:szCs w:val="20"/>
          <w:color w:val="auto"/>
        </w:rPr>
      </w:pPr>
      <w:r>
        <w:rPr>
          <w:rFonts w:ascii="Times New Roman" w:cs="Times New Roman" w:eastAsia="Times New Roman" w:hAnsi="Times New Roman"/>
          <w:sz w:val="17"/>
          <w:szCs w:val="17"/>
          <w:color w:val="auto"/>
        </w:rPr>
        <w:t>The increase of $96.9 million in net cash provided by operating activities during the nine months ended September 30, 2024, compared to the nine months ended September 30, 2023, was primarily due to an increase of $68.3 million in net income, as adjusted for stock-based compensation and depreciation and amortization expenses. Additionally, there was a decrease of $28.6 million in cash outflows from changes in operating assets and liabilities.</w:t>
      </w:r>
    </w:p>
    <w:p>
      <w:pPr>
        <w:spacing w:after="0" w:line="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61" w:lineRule="exact"/>
        <w:rPr>
          <w:sz w:val="20"/>
          <w:szCs w:val="20"/>
          <w:color w:val="auto"/>
        </w:rPr>
      </w:pPr>
    </w:p>
    <w:p>
      <w:pPr>
        <w:ind w:right="240" w:firstLine="392"/>
        <w:spacing w:after="0" w:line="295" w:lineRule="auto"/>
        <w:rPr>
          <w:sz w:val="20"/>
          <w:szCs w:val="20"/>
          <w:color w:val="auto"/>
        </w:rPr>
      </w:pPr>
      <w:r>
        <w:rPr>
          <w:rFonts w:ascii="Times New Roman" w:cs="Times New Roman" w:eastAsia="Times New Roman" w:hAnsi="Times New Roman"/>
          <w:sz w:val="17"/>
          <w:szCs w:val="17"/>
          <w:color w:val="auto"/>
        </w:rPr>
        <w:t>Net cash provided by investing activities is primarily impacted by net investment activity, which includes sales, maturities, and purchases of short-term investments, cash paid for acquisitions, and for purchasing infrastructure equipment in co-location facilities that we directly lease and operate.</w:t>
      </w:r>
    </w:p>
    <w:p>
      <w:pPr>
        <w:spacing w:after="0" w:line="81" w:lineRule="exact"/>
        <w:rPr>
          <w:sz w:val="20"/>
          <w:szCs w:val="20"/>
          <w:color w:val="auto"/>
        </w:rPr>
      </w:pPr>
    </w:p>
    <w:p>
      <w:pPr>
        <w:jc w:val="both"/>
        <w:ind w:right="40" w:firstLine="392"/>
        <w:spacing w:after="0" w:line="276" w:lineRule="auto"/>
        <w:rPr>
          <w:sz w:val="20"/>
          <w:szCs w:val="20"/>
          <w:color w:val="auto"/>
        </w:rPr>
      </w:pPr>
      <w:r>
        <w:rPr>
          <w:rFonts w:ascii="Times New Roman" w:cs="Times New Roman" w:eastAsia="Times New Roman" w:hAnsi="Times New Roman"/>
          <w:sz w:val="17"/>
          <w:szCs w:val="17"/>
          <w:color w:val="auto"/>
        </w:rPr>
        <w:t>For the nine months ended September 30, 2024, net cash provided by investing activities was $330.0 million, which primarily related to $385.2 million in net investment activity inflows, driven by the sales and maturities of short-term investments, net of purchases. The increase was partially offset by cash paid for acquisitions of $57.8 million and cash paid for capital expenditures of $19.2 million related to purchases of infrastructure assets at our datacenters.</w:t>
      </w:r>
    </w:p>
    <w:p>
      <w:pPr>
        <w:spacing w:after="0" w:line="84"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The decrease of $87.2 million in net cash provided by investing activities during the nine months ended September 30, 2024, compared to the nine months ended September 30, 2023, was primarily due to a decrease of $35.1 million in net investment activity inflows, an increase of $57.8 million in cash paid for acquisitions, and an increase of $4.9 million in cash paid for capital expenditures primarily related to purchases of infrastructure assets at our datacenters.</w:t>
      </w:r>
    </w:p>
    <w:p>
      <w:pPr>
        <w:spacing w:after="0" w:line="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61" w:lineRule="exact"/>
        <w:rPr>
          <w:sz w:val="20"/>
          <w:szCs w:val="20"/>
          <w:color w:val="auto"/>
        </w:rPr>
      </w:pPr>
    </w:p>
    <w:p>
      <w:pPr>
        <w:ind w:right="200" w:firstLine="392"/>
        <w:spacing w:after="0" w:line="276" w:lineRule="auto"/>
        <w:rPr>
          <w:sz w:val="20"/>
          <w:szCs w:val="20"/>
          <w:color w:val="auto"/>
        </w:rPr>
      </w:pPr>
      <w:r>
        <w:rPr>
          <w:rFonts w:ascii="Times New Roman" w:cs="Times New Roman" w:eastAsia="Times New Roman" w:hAnsi="Times New Roman"/>
          <w:sz w:val="17"/>
          <w:szCs w:val="17"/>
          <w:color w:val="auto"/>
        </w:rPr>
        <w:t>Net cash used in financing activities is primarily impacted by cash used for repurchases of common stock, tax withholding obligations for the release of restricted stock units ("RSUs") and restricted stock awards ("RSAs"), principal payments on finance lease obligations for our infrastructure equipment, and payments of acquisition-related indemnity holdback amounts.</w:t>
      </w:r>
    </w:p>
    <w:p>
      <w:pPr>
        <w:spacing w:after="0" w:line="84"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For the nine months ended September 30, 2024, net cash used in financing activities was $1,110.5 million, which primarily consisted of $888.3 million for the repurchase of our common stock, $109.2 million for the satisfaction of tax withholding obligations for the release of restricted stock units and awards, $96.2 million in principal payments on finance lease obligations, and the release of $17.1 million in acquisition-related indemnity holdback payments after the acquisition date in accordance with the merger agreement.</w:t>
      </w:r>
    </w:p>
    <w:p>
      <w:pPr>
        <w:spacing w:after="0" w:line="104"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The increase of $483.3 million in net cash used in financing activities during the nine months ended September 30, 2024, compared to the nine months ended September 30, 2023, was primarily due to an increase of $454.6 million in repurchases of our common stock, an increase of $8.6 million in cash paid for the satisfaction of tax withholding obligations for the release of restricted stock units and awards, and an increase of $17.1 in cash paid for the release of acquisition-related indemnity holdback payments after the acquisition date in accordance with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5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See Part II, Item 7, “Critical Accounting Estimates” in our Annual Report on Form 10-K for the year ended December 31, 2023. There have been no material changes to our critical accounting policies and estimates since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60"/>
          </w:cols>
          <w:pgMar w:left="320" w:top="119" w:right="8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51"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See Note 1 “Description of the Business and Summary of Significant Accounting Policies” to our condensed consolidated financial statements included elsewhere in this Quarterly Report on Form 10-Q for recently issued accounting pronouncements not yet adopted as of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QUANTITATIVE AND QUALITATIVE DISCLOSURES ABOUT MARKET RISK</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61"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color w:val="auto"/>
        </w:rPr>
        <w:t>We had cash and cash equivalents of $517.6 million and short-term investments of $373.2 million as of September 30, 2024.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spacing w:after="0" w:line="108" w:lineRule="exact"/>
        <w:rPr>
          <w:sz w:val="20"/>
          <w:szCs w:val="20"/>
          <w:color w:val="auto"/>
        </w:rPr>
      </w:pPr>
    </w:p>
    <w:p>
      <w:pPr>
        <w:jc w:val="both"/>
        <w:ind w:right="220" w:firstLine="392"/>
        <w:spacing w:after="0" w:line="276" w:lineRule="auto"/>
        <w:rPr>
          <w:sz w:val="20"/>
          <w:szCs w:val="20"/>
          <w:color w:val="auto"/>
        </w:rPr>
      </w:pPr>
      <w:r>
        <w:rPr>
          <w:rFonts w:ascii="Times New Roman" w:cs="Times New Roman" w:eastAsia="Times New Roman" w:hAnsi="Times New Roman"/>
          <w:sz w:val="17"/>
          <w:szCs w:val="17"/>
          <w:color w:val="auto"/>
        </w:rPr>
        <w:t>Any borrowings under the revolving credit facility bear interest at a variable rate tied to SOFR or an alternative base rate. As of September 30, 2024, we had no amounts outstanding under the revolving credit facility. We do not have any other long-term debt or financial liabilities with floating interest rates that would subject us to interest rate fluctuations.</w:t>
      </w:r>
    </w:p>
    <w:p>
      <w:pPr>
        <w:spacing w:after="0" w:line="84"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As of September 30, 2024, a hypothetical increase in interest rates by 100 basis points would have resulted in a $4.1 million reduction in the market value of our investment portfolio. This estimate is based on a sensitivity model that measures market value changes when changes in interest rates occur.</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148"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Our results of operations and cash flows are subject to fluctuations due to changes in foreign currency exchange rates relative to U.S. dollars, our reporting currency.</w:t>
      </w:r>
    </w:p>
    <w:p>
      <w:pPr>
        <w:spacing w:after="0" w:line="81"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Most of our revenue is generated in U.S. dollars, with the remainder generated in Euros, British pounds sterling, Australian dollars, Canadian dollars, and Japanese yen.</w:t>
      </w:r>
    </w:p>
    <w:p>
      <w:pPr>
        <w:spacing w:after="0" w:line="81"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91"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fluctuating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nine months ended September 30, 2024, 26%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200" w:lineRule="exact"/>
        <w:rPr>
          <w:sz w:val="20"/>
          <w:szCs w:val="20"/>
          <w:color w:val="auto"/>
        </w:rPr>
      </w:pPr>
    </w:p>
    <w:p>
      <w:pPr>
        <w:spacing w:after="0" w:line="213" w:lineRule="exact"/>
        <w:rPr>
          <w:sz w:val="20"/>
          <w:szCs w:val="20"/>
          <w:color w:val="auto"/>
        </w:rPr>
      </w:pPr>
    </w:p>
    <w:p>
      <w:pPr>
        <w:ind w:right="120" w:firstLine="431"/>
        <w:spacing w:after="0" w:line="295" w:lineRule="auto"/>
        <w:rPr>
          <w:sz w:val="20"/>
          <w:szCs w:val="20"/>
          <w:color w:val="auto"/>
        </w:rPr>
      </w:pPr>
      <w:r>
        <w:rPr>
          <w:rFonts w:ascii="Times New Roman" w:cs="Times New Roman" w:eastAsia="Times New Roman" w:hAnsi="Times New Roman"/>
          <w:sz w:val="17"/>
          <w:szCs w:val="17"/>
          <w:color w:val="auto"/>
        </w:rPr>
        <w:t>Foreign currency transaction gains or losses were immaterial during the nine months ended September 30, 2024 and 2023, respectively. A hypothetical 10% change in foreign currency rates would not have resulted in material gains or losses for the nine months ended September 30, 2024 and 2023, respectively.</w:t>
      </w:r>
    </w:p>
    <w:p>
      <w:pPr>
        <w:spacing w:after="0" w:line="81"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To date, we have not engaged in any hedging activities to manage foreign currency exchange risk. As our international operations grow, we will continue to reassess our approach to managing risks relating to fluctuations in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1" w:lineRule="exact"/>
        <w:rPr>
          <w:sz w:val="20"/>
          <w:szCs w:val="20"/>
          <w:color w:val="auto"/>
        </w:rPr>
      </w:pPr>
    </w:p>
    <w:p>
      <w:pPr>
        <w:jc w:val="both"/>
        <w:ind w:right="60" w:firstLine="392"/>
        <w:spacing w:after="0" w:line="269"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51"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Limitations on Effectiveness of Disclosure Controls and Procedures</w:t>
      </w:r>
    </w:p>
    <w:p>
      <w:pPr>
        <w:spacing w:after="0" w:line="251"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II.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LEGAL PROCEEDINGS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20" w:lineRule="exact"/>
        <w:rPr>
          <w:sz w:val="20"/>
          <w:szCs w:val="20"/>
          <w:color w:val="auto"/>
        </w:rPr>
      </w:pPr>
    </w:p>
    <w:p>
      <w:pPr>
        <w:ind w:right="140" w:firstLine="392"/>
        <w:spacing w:after="0" w:line="288" w:lineRule="auto"/>
        <w:rPr>
          <w:sz w:val="20"/>
          <w:szCs w:val="20"/>
          <w:color w:val="auto"/>
        </w:rPr>
      </w:pPr>
      <w:r>
        <w:rPr>
          <w:rFonts w:ascii="Times New Roman" w:cs="Times New Roman" w:eastAsia="Times New Roman" w:hAnsi="Times New Roman"/>
          <w:sz w:val="17"/>
          <w:szCs w:val="17"/>
          <w:color w:val="auto"/>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spacing w:after="0" w:line="393"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On July 12, 2019, Motion Offense, LLC (“Motion Offense”) filed a patent infringement suit in the Western District of Texas (Waco Division) against Dropbox's customer Sprouts Farmers Market (“Sprouts”), based on Sprouts’ use of Dropbox Business. The suit claims that Sprouts’ use of Dropbox Business infringes U.S. Patent Nos. 10,013,158 and 10,021,052. On August 14, 2019, in the District of Delaware, Dropbox filed a complaint for declaratory judgment of no infringement of the patents asserted against Sprouts by Motion Offense (“Delaware Action”), and subsequently amended the complaint to add claims for declaratory judgment that the asserted patents are invalid. Motion Offense’s motion to transfer the Delaware Action to the Western District of Texas was granted. The Western District of Texas stayed the Sprouts case pending resolution of the Dropbox case. On June 15, 2020, Motion Offense filed an amended answer to Dropbox’s declaratory judgment complaint, including counterclaims asserting that Dropbox infringes the 10,013,158 and 10,021,052 patents, as well as U.S. Patent Nos. 10,303,353, 10,613,737, and 10,587,548. On July 23, 2021, Motion Offense filed a related patent infringement suit against Dropbox in the Western District of Texas asserting that Dropbox also infringes U.S. Patent No. 11,044,215. The two cases were consolidated.</w:t>
      </w:r>
    </w:p>
    <w:p>
      <w:pPr>
        <w:spacing w:after="0" w:line="204" w:lineRule="exact"/>
        <w:rPr>
          <w:sz w:val="20"/>
          <w:szCs w:val="20"/>
          <w:color w:val="auto"/>
        </w:rPr>
      </w:pPr>
    </w:p>
    <w:p>
      <w:pPr>
        <w:ind w:right="100" w:firstLine="392"/>
        <w:spacing w:after="0" w:line="264" w:lineRule="auto"/>
        <w:rPr>
          <w:sz w:val="20"/>
          <w:szCs w:val="20"/>
          <w:color w:val="auto"/>
        </w:rPr>
      </w:pPr>
      <w:r>
        <w:rPr>
          <w:rFonts w:ascii="Times New Roman" w:cs="Times New Roman" w:eastAsia="Times New Roman" w:hAnsi="Times New Roman"/>
          <w:sz w:val="17"/>
          <w:szCs w:val="17"/>
          <w:color w:val="auto"/>
        </w:rPr>
        <w:t>At the trial in May 2023, the jury found in favor of Dropbox on all counts including non-infringement and invalidity of the patents and awarded no damages to Motion Offense. Dropbox filed a Motion for Entry of Judgment on August 28, 2023 and on September 27, 2023, Motion Offense filed a Motion for a New Trial. At a hearing on January 3, 2024, the Court denied Motion Offense’s Motion for a New Trial. On January 8, 2024, the court ordered supplemental briefing relating to the Motion for Entry of Judgment and briefing. On August 29, 2024, the court entered judgement in line with the May 2023 jury verdict. On September 27, 2024, Motion Offense filed a Motion for Judgment as a Matter of Law and a (renewed) Motion for a New Trial. Dropbox’s responses were filed on October 25, 2024. Motion Offense's replies will be due by November 15, 2024.</w:t>
      </w:r>
    </w:p>
    <w:p>
      <w:pPr>
        <w:spacing w:after="0" w:line="200" w:lineRule="exact"/>
        <w:rPr>
          <w:sz w:val="20"/>
          <w:szCs w:val="20"/>
          <w:color w:val="auto"/>
        </w:rPr>
      </w:pPr>
    </w:p>
    <w:p>
      <w:pPr>
        <w:ind w:right="260" w:firstLine="392"/>
        <w:spacing w:after="0" w:line="276" w:lineRule="auto"/>
        <w:rPr>
          <w:sz w:val="20"/>
          <w:szCs w:val="20"/>
          <w:color w:val="auto"/>
        </w:rPr>
      </w:pPr>
      <w:r>
        <w:rPr>
          <w:rFonts w:ascii="Times New Roman" w:cs="Times New Roman" w:eastAsia="Times New Roman" w:hAnsi="Times New Roman"/>
          <w:sz w:val="17"/>
          <w:szCs w:val="17"/>
          <w:color w:val="auto"/>
        </w:rPr>
        <w:t>Before trial, Motion Offense filed a third patent infringement suit against Dropbox out of the same family of patents as the prior two suits. This suit was not consolidated into the trial. The case is currently stayed pending final resolution of the Inter Partes Review of the asserted patent. We believe Motion Offense’s allegations in that suit are similarly without merit and will vigorously defend against them.</w:t>
      </w:r>
    </w:p>
    <w:p>
      <w:pPr>
        <w:spacing w:after="0" w:line="188"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While we remain confident in the Company’s defenses to the asserted allegations in these cases, it is not possible to determine the ultimate outcome at this time, and thus we cannot reasonably estimate the maximum potential exposure or range of possible loss.</w:t>
      </w:r>
    </w:p>
    <w:p>
      <w:pPr>
        <w:spacing w:after="0" w:line="173" w:lineRule="exact"/>
        <w:rPr>
          <w:sz w:val="20"/>
          <w:szCs w:val="20"/>
          <w:color w:val="auto"/>
        </w:rPr>
      </w:pPr>
    </w:p>
    <w:p>
      <w:pPr>
        <w:ind w:right="180" w:firstLine="392"/>
        <w:spacing w:after="0" w:line="276" w:lineRule="auto"/>
        <w:rPr>
          <w:sz w:val="20"/>
          <w:szCs w:val="20"/>
          <w:color w:val="auto"/>
        </w:rPr>
      </w:pPr>
      <w:r>
        <w:rPr>
          <w:rFonts w:ascii="Times New Roman" w:cs="Times New Roman" w:eastAsia="Times New Roman" w:hAnsi="Times New Roman"/>
          <w:sz w:val="17"/>
          <w:szCs w:val="17"/>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1A. RISK FACTORS</w:t>
      </w:r>
    </w:p>
    <w:p>
      <w:pPr>
        <w:spacing w:after="0" w:line="242"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7"/>
          <w:szCs w:val="17"/>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Business and Operations</w:t>
      </w:r>
    </w:p>
    <w:p>
      <w:pPr>
        <w:spacing w:after="0" w:line="24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our ability to retain and upgrade paying users, and any decline in renewals or upgrades could adversely affect our future results of operations.</w:t>
      </w:r>
    </w:p>
    <w:p>
      <w:pPr>
        <w:spacing w:after="0" w:line="169"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we have experienced periods in which our number of paying users has declined, renewals and upgrades of subscriptions to our platform may continue to fluctuate or decline in any period or over time. Paying users may downgrade or not renew their subscriptions because of several factors, such as dissatisfaction with our products, support, pricing, mix of features, or user experience, a user no longer having a need for our products, the availability of competitive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spacing w:after="0" w:line="204" w:lineRule="exact"/>
        <w:rPr>
          <w:sz w:val="20"/>
          <w:szCs w:val="20"/>
          <w:color w:val="auto"/>
        </w:rPr>
      </w:pPr>
    </w:p>
    <w:p>
      <w:pPr>
        <w:ind w:right="20" w:firstLine="392"/>
        <w:spacing w:after="0" w:line="259" w:lineRule="auto"/>
        <w:rPr>
          <w:sz w:val="20"/>
          <w:szCs w:val="20"/>
          <w:color w:val="auto"/>
        </w:rPr>
      </w:pPr>
      <w:r>
        <w:rPr>
          <w:rFonts w:ascii="Times New Roman" w:cs="Times New Roman" w:eastAsia="Times New Roman" w:hAnsi="Times New Roman"/>
          <w:sz w:val="17"/>
          <w:szCs w:val="17"/>
          <w:color w:val="auto"/>
        </w:rPr>
        <w:t>We encourage both basic and paying users to upgrade to our premium offerings by recommending additional features and through in-product prompts and notifications. We are focused on increasing recurring revenue and we believe that users that subscribe to our premium paid offerings, including our bundled product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adopting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Loss of paying users due to non-renewal of contracts that cover a large number of seat licenses could negatively impact our number of paying users, causing the number of net new paying users to decline or be negative. Accordingly, an enterprise decision not to renew its license may have a material impact on our number of paying users and could also have a significant impact on our business, results of operations, and financial condition as a result. Additionally, the timing of certain contract renewals that include a significant number of seat licenses may make any projections relating to our future paying users more uncertain. 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spacing w:after="0" w:line="200" w:lineRule="exact"/>
        <w:rPr>
          <w:sz w:val="20"/>
          <w:szCs w:val="20"/>
          <w:color w:val="auto"/>
        </w:rPr>
      </w:pPr>
    </w:p>
    <w:p>
      <w:pPr>
        <w:spacing w:after="0" w:line="220"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We have and may continue to see an increase in new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growth could be harmed if we fail to attract new users or convert registered users to paying users.</w:t>
      </w:r>
    </w:p>
    <w:p>
      <w:pPr>
        <w:spacing w:after="0" w:line="253" w:lineRule="exact"/>
        <w:rPr>
          <w:sz w:val="20"/>
          <w:szCs w:val="20"/>
          <w:color w:val="auto"/>
        </w:rPr>
      </w:pPr>
    </w:p>
    <w:p>
      <w:pPr>
        <w:ind w:right="40" w:firstLine="392"/>
        <w:spacing w:after="0" w:line="273" w:lineRule="auto"/>
        <w:rPr>
          <w:sz w:val="20"/>
          <w:szCs w:val="20"/>
          <w:color w:val="auto"/>
        </w:rPr>
      </w:pPr>
      <w:r>
        <w:rPr>
          <w:rFonts w:ascii="Times New Roman" w:cs="Times New Roman" w:eastAsia="Times New Roman" w:hAnsi="Times New Roman"/>
          <w:sz w:val="17"/>
          <w:szCs w:val="17"/>
          <w:color w:val="auto"/>
        </w:rPr>
        <w:t>We must continually add new users to grow our business beyond our current user base and to replace users who choose not to continue to use our platform. In particular, in order to grow our revenue, we must attract paying users and convert registered users to paying users. Historically, our revenue has been driven by our self-serve model, and we generate more than 90% of our revenue from self-serve channels. Our self-service channel revenue is driven by word-of-mouth referrals,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recommendations, and positive brand recognition in the marketplace. Any decrease in user satisfaction with our products or support could harm our brand, word-of-mouth referrals, and ability to grow.</w:t>
      </w:r>
    </w:p>
    <w:p>
      <w:pPr>
        <w:spacing w:after="0" w:line="173"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September 30, 2024, we served over 700 million registered users but only 18.24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200" w:lineRule="exact"/>
        <w:rPr>
          <w:sz w:val="20"/>
          <w:szCs w:val="20"/>
          <w:color w:val="auto"/>
        </w:rPr>
      </w:pPr>
    </w:p>
    <w:p>
      <w:pPr>
        <w:ind w:right="100" w:firstLine="392"/>
        <w:spacing w:after="0" w:line="264" w:lineRule="auto"/>
        <w:rPr>
          <w:sz w:val="20"/>
          <w:szCs w:val="20"/>
          <w:color w:val="auto"/>
        </w:rPr>
      </w:pPr>
      <w:r>
        <w:rPr>
          <w:rFonts w:ascii="Times New Roman" w:cs="Times New Roman" w:eastAsia="Times New Roman" w:hAnsi="Times New Roman"/>
          <w:sz w:val="17"/>
          <w:szCs w:val="17"/>
          <w:color w:val="auto"/>
        </w:rPr>
        <w:t>We have experienced periods in which our number of paying users has declined, and our paying and registered user growth rates have declined and may continue to decline in the future as our pricing and packaging strategy and features (including data storage limits) change, our market penetration rates increase, and as a result of market conditions and increasing competition with respect to our current products. The availability of less expensive and bundled competitive products also has negatively impacted and may continue to negatively impact our user growth rate and our ability to convert registered users to paying users. The growth rate of our user base and the rate of conversion of registered users to paying users has declined in the past, and if such trends continue, our revenue may grow more slowly than expected or decline.</w:t>
      </w:r>
    </w:p>
    <w:p>
      <w:pPr>
        <w:spacing w:after="0" w:line="200"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7"/>
          <w:szCs w:val="17"/>
          <w:color w:val="auto"/>
        </w:rPr>
        <w:t>Furthermore, events or conditions that financially impact our registered users and other prospective paying users, such as macroeconomic factors, layoffs, inflation, increased interest rates, or catastrophic events, have in the past caused and may cause in future periods these users to delay or reduce technology spending, which impacted, and may continue to impact our ability to convert registered users or otherwise attract new paying users, restricting our ability to grow our revenue. If we are unable to increase our paying user growth rates or to offset declines in the number of new paying users with increased revenue per paying user, our revenue and operating results will be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 the past and may continue to experience privacy and data security breaches or incidents.</w:t>
      </w:r>
    </w:p>
    <w:p>
      <w:pPr>
        <w:spacing w:after="0" w:line="253"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For example, as previously disclosed in our Form 8-K filed with the Securities and Exchange Commission on May 1, 2024, on April 24, 2024, we became aware of unauthorized access to the Dropbox Sign production environment. We continue to face risks relating to this incident, including harm to our reputation and customer relationships, and ongoing litigation, in the form of a consolidated class action lawsuit that has been filed in federal court in the Northern District of California, and regulatory scrutiny related to this incident, and we may discover</w:t>
      </w:r>
    </w:p>
    <w:p>
      <w:pPr>
        <w:spacing w:after="0" w:line="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other impacts or new related events may occur that could affect our business operations, financial condition or results of operations.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 We have also incorporated AI technologies into certain products and expect to continue to incorporate additional AI technologies into our products and otherwise into our business and operations in the future. The use of AI technologies and the accelerated product development lifecycle for AI products may create additional or increase existing cybersecurity risks and may result in security or privacy incidents. Further, cybersecurity attacks may use AI technologies and increase the risk of 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40" w:firstLine="392"/>
        <w:spacing w:after="0" w:line="263" w:lineRule="auto"/>
        <w:rPr>
          <w:sz w:val="20"/>
          <w:szCs w:val="20"/>
          <w:color w:val="auto"/>
        </w:rPr>
      </w:pPr>
      <w:r>
        <w:rPr>
          <w:rFonts w:ascii="Times New Roman" w:cs="Times New Roman" w:eastAsia="Times New Roman" w:hAnsi="Times New Roman"/>
          <w:sz w:val="17"/>
          <w:szCs w:val="17"/>
          <w:color w:val="auto"/>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spacing w:after="0" w:line="199" w:lineRule="exact"/>
        <w:rPr>
          <w:sz w:val="20"/>
          <w:szCs w:val="20"/>
          <w:color w:val="auto"/>
        </w:rPr>
      </w:pPr>
    </w:p>
    <w:p>
      <w:pPr>
        <w:ind w:firstLine="392"/>
        <w:spacing w:after="0" w:line="259" w:lineRule="auto"/>
        <w:rPr>
          <w:sz w:val="20"/>
          <w:szCs w:val="20"/>
          <w:color w:val="auto"/>
        </w:rPr>
      </w:pPr>
      <w:r>
        <w:rPr>
          <w:rFonts w:ascii="Times New Roman" w:cs="Times New Roman" w:eastAsia="Times New Roman" w:hAnsi="Times New Roman"/>
          <w:sz w:val="17"/>
          <w:szCs w:val="17"/>
          <w:color w:val="auto"/>
        </w:rPr>
        <w:t>Emerging and evolving cybersecurity threats pose unique challenges and involve sophisticated threat actors. Computer malware, ransomware,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wars or other armed conflicts.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spacing w:after="0" w:line="202"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including as part of our Virtual First model. Additionally, unapproved internal AI product usage or human error in the product development process each have the potential to result in disclosure of user or company content data.</w:t>
      </w:r>
    </w:p>
    <w:p>
      <w:pPr>
        <w:spacing w:after="0" w:line="195" w:lineRule="exact"/>
        <w:rPr>
          <w:sz w:val="20"/>
          <w:szCs w:val="20"/>
          <w:color w:val="auto"/>
        </w:rPr>
      </w:pPr>
    </w:p>
    <w:p>
      <w:pPr>
        <w:ind w:right="160" w:firstLine="392"/>
        <w:spacing w:after="0" w:line="269" w:lineRule="auto"/>
        <w:rPr>
          <w:sz w:val="20"/>
          <w:szCs w:val="20"/>
          <w:color w:val="auto"/>
        </w:rPr>
      </w:pPr>
      <w:r>
        <w:rPr>
          <w:rFonts w:ascii="Times New Roman" w:cs="Times New Roman" w:eastAsia="Times New Roman" w:hAnsi="Times New Roman"/>
          <w:sz w:val="17"/>
          <w:szCs w:val="17"/>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the Dropbox Developer Terms and Conditions, or in the event of a breach or other compromise of their networks or systems, our data or our users' data may be improperly accessed, used, or disclosed.</w:t>
      </w:r>
    </w:p>
    <w:p>
      <w:pPr>
        <w:spacing w:after="0" w:line="195"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have done so. While we are not aware of any URLs that were exploited by malicious actors, we cannot rule this out. As a standard practice, we complied with our notification obligations to applicable regulatory authorities. While we believe we have adequate systems in place to detect and prevent integration of software and services that may compromise personal information, we can provide no assurances those systems will be effective in every case.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rate of growth has declined in past periods. If we do not successfully execute our plan for future growth, our growth rate may continue to decline in the future.</w:t>
      </w:r>
    </w:p>
    <w:p>
      <w:pPr>
        <w:spacing w:after="0" w:line="169"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The rate of growth of our business and revenue has declined in prior periods and may continue to decline in the future if we are unable to execute on our new product initiatives and plans for future growth. Although we believe our new product initiatives represent an opportunity for future growth, these initiatives, including any AI-based initiatives, may not succeed, and any additional revenue they generate may be insufficient to offset declining rates of growth in other areas of our business.</w:t>
      </w:r>
    </w:p>
    <w:p>
      <w:pPr>
        <w:spacing w:after="0" w:line="182" w:lineRule="exact"/>
        <w:rPr>
          <w:sz w:val="20"/>
          <w:szCs w:val="20"/>
          <w:color w:val="auto"/>
        </w:rPr>
      </w:pPr>
    </w:p>
    <w:p>
      <w:pPr>
        <w:ind w:firstLine="392"/>
        <w:spacing w:after="0" w:line="248" w:lineRule="auto"/>
        <w:rPr>
          <w:sz w:val="20"/>
          <w:szCs w:val="20"/>
          <w:color w:val="auto"/>
        </w:rPr>
      </w:pPr>
      <w:r>
        <w:rPr>
          <w:rFonts w:ascii="Times New Roman" w:cs="Times New Roman" w:eastAsia="Times New Roman" w:hAnsi="Times New Roman"/>
          <w:sz w:val="17"/>
          <w:szCs w:val="17"/>
          <w:color w:val="auto"/>
        </w:rPr>
        <w:t>Additionally, efforts to grow and expand our business, including the introduction of new features and products, places a continuous significant strain on our management, operational, and financial resources. As we introduce new products and features, including AI features, and to the extent our user base and third-party relationships expand, our information technology systems, organizational structures, and internal controls and procedures may not be adequate to support our operations. These issues have from time-to-time in the past, and may in the future, slow or limit our ability to execute against our product initiatives, impact user experience, and impair growth. Moreover, any increasing complexity of our product offerings could harm our customer experience and negatively impact user retention or the conversion of registered users to paying users.</w:t>
      </w:r>
    </w:p>
    <w:p>
      <w:pPr>
        <w:spacing w:after="0" w:line="212" w:lineRule="exact"/>
        <w:rPr>
          <w:sz w:val="20"/>
          <w:szCs w:val="20"/>
          <w:color w:val="auto"/>
        </w:rPr>
      </w:pPr>
    </w:p>
    <w:p>
      <w:pPr>
        <w:ind w:right="200" w:firstLine="392"/>
        <w:spacing w:after="0" w:line="276" w:lineRule="auto"/>
        <w:rPr>
          <w:sz w:val="20"/>
          <w:szCs w:val="20"/>
          <w:color w:val="auto"/>
        </w:rPr>
      </w:pPr>
      <w:r>
        <w:rPr>
          <w:rFonts w:ascii="Times New Roman" w:cs="Times New Roman" w:eastAsia="Times New Roman" w:hAnsi="Times New Roman"/>
          <w:sz w:val="17"/>
          <w:szCs w:val="17"/>
          <w:color w:val="auto"/>
        </w:rPr>
        <w:t>In addition, these challenges may be heightened in connection with our Virtual First work model, as we focus on integrating, developing, and motivating an increasingly distributed employee base in various countries around the world, as well as aligning our resources to create a more nimble and streamlined organization. Executing our plans to drive growth will also require significant expenditures and allocation of valuable management resources.</w:t>
      </w:r>
    </w:p>
    <w:p>
      <w:pPr>
        <w:spacing w:after="0" w:line="188"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7"/>
          <w:szCs w:val="17"/>
          <w:color w:val="auto"/>
        </w:rPr>
        <w:t>Our ability to forecast our future results of operations is subject to a number of risks and uncertainties, including our ability to effectively plan for and model future growth, and we have not always and we may not in the future receive our expected return on investments that we make in our business in the time we expect or at all. We have encountered in the past, and may encounter in the future, risks and uncertainties frequently experienced by companies in rapidly changing industries. If we fail to achieve the necessary level of efficiency in our organization, or our investments do not result in the growth we expect, our business, results of operations, and financial condition could be harmed.</w:t>
      </w:r>
    </w:p>
    <w:p>
      <w:pPr>
        <w:spacing w:after="0" w:line="193"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may be significantly impacted by a change in general economic, political, and market conditions, including any resulting effect on consumer or business spending.</w:t>
      </w:r>
    </w:p>
    <w:p>
      <w:pPr>
        <w:spacing w:after="0" w:line="169"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7"/>
          <w:szCs w:val="17"/>
          <w:color w:val="auto"/>
        </w:rPr>
        <w:t>Our business may be affected by general economic, political, and market conditions, including any resulting negative impact on spending by our business and consumer users. Some of our users may view a paid subscription to our platform as a discretionary purchase, and our paying users have in the past and may in the future reduce their spending on our platform during an economic downturn, especially in the event of a prolonged recessionary period. Concerns about inflation, interest rates, unemployment trends, geopolitical issues, including wars and other armed conflicts, global health epidemics and other highly communicable diseases, bank insolvencies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competitive markets, and we must continue to compete effectively.</w:t>
      </w:r>
    </w:p>
    <w:p>
      <w:pPr>
        <w:spacing w:after="0" w:line="253" w:lineRule="exact"/>
        <w:rPr>
          <w:sz w:val="20"/>
          <w:szCs w:val="20"/>
          <w:color w:val="auto"/>
        </w:rPr>
      </w:pPr>
    </w:p>
    <w:p>
      <w:pPr>
        <w:ind w:right="40" w:firstLine="392"/>
        <w:spacing w:after="0" w:line="263" w:lineRule="auto"/>
        <w:rPr>
          <w:sz w:val="20"/>
          <w:szCs w:val="20"/>
          <w:color w:val="auto"/>
        </w:rPr>
      </w:pPr>
      <w:r>
        <w:rPr>
          <w:rFonts w:ascii="Times New Roman" w:cs="Times New Roman" w:eastAsia="Times New Roman" w:hAnsi="Times New Roman"/>
          <w:sz w:val="17"/>
          <w:szCs w:val="17"/>
          <w:color w:val="auto"/>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as well as in the e-signature market along with Adobe and DocuSign. We have also made and will continue to make significant investments in developing products in the highly-competitive marketplace for AI technology and, in light of the rapid development and significant competitive pressures, we may not be able to compete effectively or realize a return on our investments. We also compete with smaller private companies that offer point solutions in the cloud storage market or the content collaboration market. We believe the principal competitive factors in our markets include the following: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hanging="315"/>
        <w:spacing w:after="0"/>
        <w:tabs>
          <w:tab w:leader="none" w:pos="12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user-centric design;</w:t>
      </w:r>
    </w:p>
    <w:p>
      <w:pPr>
        <w:spacing w:after="0" w:line="217" w:lineRule="exact"/>
        <w:rPr>
          <w:rFonts w:ascii="Times New Roman" w:cs="Times New Roman" w:eastAsia="Times New Roman" w:hAnsi="Times New Roman"/>
          <w:sz w:val="21"/>
          <w:szCs w:val="21"/>
          <w:color w:val="auto"/>
        </w:rPr>
      </w:pPr>
    </w:p>
    <w:p>
      <w:pPr>
        <w:ind w:left="1260" w:hanging="315"/>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adoption and use;</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scale of user network;</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features and platform experience;</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and privacy;</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accessibility across several devices, operating systems, and applications;</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integration;</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support;</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innovation;</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AI; and</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trends.</w:t>
      </w:r>
    </w:p>
    <w:p>
      <w:pPr>
        <w:spacing w:after="0" w:line="249"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With the introduction of new technologies and market entrants, we expect competition to intensify. Many of our actual and potential competitors have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or alliances to offer a broader range of products and services than we do. These combinations make it increasingly difficult for us to compete effectively. We expect these trends to continue as competitors strengthen or maintain their market positions.</w:t>
      </w:r>
    </w:p>
    <w:p>
      <w:pPr>
        <w:spacing w:after="0" w:line="200"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Demand for our platform is sensitive to price, and our pricing and packaging has in the past and could in the future negatively impact our top of funnel and conversion rates.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95" w:lineRule="exact"/>
        <w:rPr>
          <w:sz w:val="20"/>
          <w:szCs w:val="20"/>
          <w:color w:val="auto"/>
        </w:rPr>
      </w:pPr>
    </w:p>
    <w:p>
      <w:pPr>
        <w:jc w:val="both"/>
        <w:ind w:right="280" w:firstLine="392"/>
        <w:spacing w:after="0" w:line="276" w:lineRule="auto"/>
        <w:rPr>
          <w:sz w:val="20"/>
          <w:szCs w:val="20"/>
          <w:color w:val="auto"/>
        </w:rPr>
      </w:pPr>
      <w:r>
        <w:rPr>
          <w:rFonts w:ascii="Times New Roman" w:cs="Times New Roman" w:eastAsia="Times New Roman" w:hAnsi="Times New Roman"/>
          <w:sz w:val="17"/>
          <w:szCs w:val="17"/>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84" w:lineRule="exact"/>
        <w:rPr>
          <w:sz w:val="20"/>
          <w:szCs w:val="20"/>
          <w:color w:val="auto"/>
        </w:rPr>
      </w:pPr>
    </w:p>
    <w:p>
      <w:pPr>
        <w:jc w:val="both"/>
        <w:ind w:righ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69" w:lineRule="exact"/>
        <w:rPr>
          <w:sz w:val="20"/>
          <w:szCs w:val="20"/>
          <w:color w:val="auto"/>
        </w:rPr>
      </w:pPr>
    </w:p>
    <w:p>
      <w:pPr>
        <w:ind w:right="180" w:firstLine="392"/>
        <w:spacing w:after="0" w:line="266" w:lineRule="auto"/>
        <w:rPr>
          <w:sz w:val="20"/>
          <w:szCs w:val="20"/>
          <w:color w:val="auto"/>
        </w:rPr>
      </w:pPr>
      <w:r>
        <w:rPr>
          <w:rFonts w:ascii="Times New Roman" w:cs="Times New Roman" w:eastAsia="Times New Roman" w:hAnsi="Times New Roman"/>
          <w:sz w:val="17"/>
          <w:szCs w:val="17"/>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that could impact short-term growth or profitability. We have made, and intend to continue making,</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significant investments in developing products that will incorporate AI, and while we are optimistic that such new products have the potential to drive future growth of our business, the development of such new features will incur significant costs and there is no guarantee that such new product offerings will ultimately be successful. Additionally, use of newly-developed AI technology could result in reputational harm, operational risks, or legal liability. Moreover, uncertainty in the regulatory landscape relating to AI along with new or enhanced governmental or regulatory scrutiny could negatively impact our business in the U.S. or in other jurisdictions where we operate. For example, the European Union enacted the Artificial Intelligence Act in March 2024 that prohibits certain AI applications and systems and imposes additional requirements on the use of certain applications or systems.</w:t>
      </w:r>
    </w:p>
    <w:p>
      <w:pPr>
        <w:spacing w:after="0" w:line="200" w:lineRule="exact"/>
        <w:rPr>
          <w:sz w:val="20"/>
          <w:szCs w:val="20"/>
          <w:color w:val="auto"/>
        </w:rPr>
      </w:pPr>
    </w:p>
    <w:p>
      <w:pPr>
        <w:ind w:right="120" w:firstLine="392"/>
        <w:spacing w:after="0" w:line="262" w:lineRule="auto"/>
        <w:rPr>
          <w:sz w:val="20"/>
          <w:szCs w:val="20"/>
          <w:color w:val="auto"/>
        </w:rPr>
      </w:pPr>
      <w:r>
        <w:rPr>
          <w:rFonts w:ascii="Times New Roman" w:cs="Times New Roman" w:eastAsia="Times New Roman" w:hAnsi="Times New Roman"/>
          <w:sz w:val="17"/>
          <w:szCs w:val="17"/>
          <w:color w:val="auto"/>
        </w:rPr>
        <w:t>In addition, while we believe trends towards remote or distributed work will prove to be significant and long lasting, and that these trends will open up increased market opportunities for us, such as our work on new AI-driven products,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01" w:lineRule="exact"/>
        <w:rPr>
          <w:sz w:val="20"/>
          <w:szCs w:val="20"/>
          <w:color w:val="auto"/>
        </w:rPr>
      </w:pPr>
    </w:p>
    <w:p>
      <w:pPr>
        <w:ind w:firstLine="392"/>
        <w:spacing w:after="0" w:line="259" w:lineRule="auto"/>
        <w:rPr>
          <w:sz w:val="20"/>
          <w:szCs w:val="20"/>
          <w:color w:val="auto"/>
        </w:rPr>
      </w:pPr>
      <w:r>
        <w:rPr>
          <w:rFonts w:ascii="Times New Roman" w:cs="Times New Roman" w:eastAsia="Times New Roman" w:hAnsi="Times New Roman"/>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in response to the COVID-19 pandemic, we transitioned to a Virtual First work model, which may lead to disruptions and decreased productivity that could result in delays in our product development process. The risk of such disruptions and decreased productivity may persist as our workforce operates under a Virtual First model.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upon the interoperability of our platform across devices, operating systems, and third-party applications that we do not control.</w:t>
      </w:r>
    </w:p>
    <w:p>
      <w:pPr>
        <w:spacing w:after="0" w:line="253"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Third-party services and products are constantly evolving, and we may not be able to modify our platform and have in the past experienced delays in modifying our platform to assure its compatibility with that of other third parties following development changes. If we are unable to ensure compatibility of our platform with desired third party services, our business may be adversely impacted.</w:t>
      </w:r>
    </w:p>
    <w:p>
      <w:pPr>
        <w:spacing w:after="0" w:line="199" w:lineRule="exact"/>
        <w:rPr>
          <w:sz w:val="20"/>
          <w:szCs w:val="20"/>
          <w:color w:val="auto"/>
        </w:rPr>
      </w:pPr>
    </w:p>
    <w:p>
      <w:pPr>
        <w:ind w:right="160" w:firstLine="392"/>
        <w:spacing w:after="0" w:line="269" w:lineRule="auto"/>
        <w:rPr>
          <w:sz w:val="20"/>
          <w:szCs w:val="20"/>
          <w:color w:val="auto"/>
        </w:rPr>
      </w:pPr>
      <w:r>
        <w:rPr>
          <w:rFonts w:ascii="Times New Roman" w:cs="Times New Roman" w:eastAsia="Times New Roman" w:hAnsi="Times New Roman"/>
          <w:sz w:val="17"/>
          <w:szCs w:val="17"/>
          <w:color w:val="auto"/>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harmed by any significant disruption of service on our platform or loss of content.</w:t>
      </w:r>
    </w:p>
    <w:p>
      <w:pPr>
        <w:spacing w:after="0" w:line="253" w:lineRule="exact"/>
        <w:rPr>
          <w:sz w:val="20"/>
          <w:szCs w:val="20"/>
          <w:color w:val="auto"/>
        </w:rPr>
      </w:pPr>
    </w:p>
    <w:p>
      <w:pPr>
        <w:ind w:right="140" w:firstLine="392"/>
        <w:spacing w:after="0" w:line="264" w:lineRule="auto"/>
        <w:rPr>
          <w:sz w:val="20"/>
          <w:szCs w:val="20"/>
          <w:color w:val="auto"/>
        </w:rPr>
      </w:pPr>
      <w:r>
        <w:rPr>
          <w:rFonts w:ascii="Times New Roman" w:cs="Times New Roman" w:eastAsia="Times New Roman" w:hAnsi="Times New Roman"/>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0" w:lineRule="exact"/>
        <w:rPr>
          <w:sz w:val="20"/>
          <w:szCs w:val="20"/>
          <w:color w:val="auto"/>
        </w:rPr>
      </w:pPr>
    </w:p>
    <w:p>
      <w:pPr>
        <w:ind w:right="240" w:firstLine="392"/>
        <w:spacing w:after="0" w:line="269" w:lineRule="auto"/>
        <w:rPr>
          <w:sz w:val="20"/>
          <w:szCs w:val="20"/>
          <w:color w:val="auto"/>
        </w:rPr>
      </w:pPr>
      <w:r>
        <w:rPr>
          <w:rFonts w:ascii="Times New Roman" w:cs="Times New Roman" w:eastAsia="Times New Roman" w:hAnsi="Times New Roman"/>
          <w:sz w:val="17"/>
          <w:szCs w:val="17"/>
          <w:color w:val="auto"/>
        </w:rPr>
        <w:t>The continued growth of our user base and the amount and types of information stored, synced, and shared on our platform will require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continue to add, enhance and modify our infrastructure to meet our business needs, we may move or transfer additional content accordingly.</w:t>
      </w:r>
    </w:p>
    <w:p>
      <w:pPr>
        <w:spacing w:after="0" w:line="195" w:lineRule="exact"/>
        <w:rPr>
          <w:sz w:val="20"/>
          <w:szCs w:val="20"/>
          <w:color w:val="auto"/>
        </w:rPr>
      </w:pPr>
    </w:p>
    <w:p>
      <w:pPr>
        <w:ind w:firstLine="392"/>
        <w:spacing w:after="0" w:line="259" w:lineRule="auto"/>
        <w:rPr>
          <w:sz w:val="20"/>
          <w:szCs w:val="20"/>
          <w:color w:val="auto"/>
        </w:rPr>
      </w:pPr>
      <w:r>
        <w:rPr>
          <w:rFonts w:ascii="Times New Roman" w:cs="Times New Roman" w:eastAsia="Times New Roman" w:hAnsi="Times New Roman"/>
          <w:sz w:val="17"/>
          <w:szCs w:val="17"/>
          <w:color w:val="auto"/>
        </w:rPr>
        <w:t>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209" w:lineRule="exact"/>
        <w:rPr>
          <w:sz w:val="20"/>
          <w:szCs w:val="20"/>
          <w:color w:val="auto"/>
        </w:rPr>
      </w:pPr>
    </w:p>
    <w:p>
      <w:pPr>
        <w:ind w:right="140" w:firstLine="392"/>
        <w:spacing w:after="0" w:line="263" w:lineRule="auto"/>
        <w:rPr>
          <w:sz w:val="20"/>
          <w:szCs w:val="20"/>
          <w:color w:val="auto"/>
        </w:rPr>
      </w:pPr>
      <w:r>
        <w:rPr>
          <w:rFonts w:ascii="Times New Roman" w:cs="Times New Roman" w:eastAsia="Times New Roman" w:hAnsi="Times New Roman"/>
          <w:sz w:val="17"/>
          <w:szCs w:val="17"/>
          <w:color w:val="auto"/>
        </w:rPr>
        <w:t>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generate revenue from sales of subscriptions to our platform, and declines in demand for our platform, or for content collaboration solutions in general, could negatively impact our business.</w:t>
      </w:r>
    </w:p>
    <w:p>
      <w:pPr>
        <w:spacing w:after="0" w:line="169"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spacing w:after="0" w:line="195"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213" w:lineRule="exact"/>
        <w:rPr>
          <w:sz w:val="20"/>
          <w:szCs w:val="20"/>
          <w:color w:val="auto"/>
        </w:rPr>
      </w:pPr>
    </w:p>
    <w:p>
      <w:pPr>
        <w:ind w:left="620" w:hanging="302"/>
        <w:spacing w:after="0"/>
        <w:tabs>
          <w:tab w:leader="none" w:pos="6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awareness of the content collaboration category generally;</w:t>
      </w:r>
    </w:p>
    <w:p>
      <w:pPr>
        <w:spacing w:after="0" w:line="1"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products and services that compete with ours;</w:t>
      </w:r>
    </w:p>
    <w:p>
      <w:pPr>
        <w:spacing w:after="0" w:line="22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scale, and duration, of trends towards or away from remote or distributed work;</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adoption and use;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features and platform experience;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and privacy;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support;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AI;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trends.</w:t>
      </w:r>
    </w:p>
    <w:p>
      <w:pPr>
        <w:spacing w:after="0" w:line="249"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84"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69"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7"/>
          <w:szCs w:val="17"/>
          <w:color w:val="auto"/>
        </w:rPr>
        <w:t>We depend on the continued service and performance of our key personnel. In particular, Andrew W. Houston, our Chief Executive Officer and one of our co-founders, is critical to our vision, strategic direction, culture, and offerings. From time-to-time,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197"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us the opportunity to align our resources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or our ability to maintain an effective workforce may be impacted.</w:t>
      </w:r>
    </w:p>
    <w:p>
      <w:pPr>
        <w:spacing w:after="0" w:line="195" w:lineRule="exact"/>
        <w:rPr>
          <w:sz w:val="20"/>
          <w:szCs w:val="20"/>
          <w:color w:val="auto"/>
        </w:rPr>
      </w:pPr>
    </w:p>
    <w:p>
      <w:pPr>
        <w:ind w:right="20" w:firstLine="392"/>
        <w:spacing w:after="0" w:line="260" w:lineRule="auto"/>
        <w:rPr>
          <w:sz w:val="20"/>
          <w:szCs w:val="20"/>
          <w:color w:val="auto"/>
        </w:rPr>
      </w:pPr>
      <w:r>
        <w:rPr>
          <w:rFonts w:ascii="Times New Roman" w:cs="Times New Roman" w:eastAsia="Times New Roman" w:hAnsi="Times New Roman"/>
          <w:sz w:val="17"/>
          <w:szCs w:val="17"/>
          <w:color w:val="auto"/>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Furthermore, our 2024 reduction in workforce may result in increased attrition beyond our intended reduction in workforce, reduce employee morale, and negatively impact employee recruiting and retention. If we fail to attract new personnel, or fail to retain and motivate our current personnel, our business, financial results, and growth prospects could be harmed.</w:t>
      </w:r>
    </w:p>
    <w:p>
      <w:pPr>
        <w:spacing w:after="0" w:line="206" w:lineRule="exact"/>
        <w:rPr>
          <w:sz w:val="20"/>
          <w:szCs w:val="20"/>
          <w:color w:val="auto"/>
        </w:rPr>
      </w:pPr>
    </w:p>
    <w:p>
      <w:pPr>
        <w:ind w:right="60" w:firstLine="392"/>
        <w:spacing w:after="0" w:line="276" w:lineRule="auto"/>
        <w:rPr>
          <w:sz w:val="20"/>
          <w:szCs w:val="20"/>
          <w:color w:val="auto"/>
        </w:rPr>
      </w:pPr>
      <w:r>
        <w:rPr>
          <w:rFonts w:ascii="Times New Roman" w:cs="Times New Roman" w:eastAsia="Times New Roman" w:hAnsi="Times New Roman"/>
          <w:sz w:val="17"/>
          <w:szCs w:val="17"/>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model.</w:t>
      </w:r>
    </w:p>
    <w:p>
      <w:pPr>
        <w:spacing w:after="0" w:line="184"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a limited history of operating with a Virtual First workforce and the long-term impact on our financial results and business operations remains uncertain.</w:t>
      </w:r>
    </w:p>
    <w:p>
      <w:pPr>
        <w:spacing w:after="0" w:line="169" w:lineRule="exact"/>
        <w:rPr>
          <w:sz w:val="20"/>
          <w:szCs w:val="20"/>
          <w:color w:val="auto"/>
        </w:rPr>
      </w:pPr>
    </w:p>
    <w:p>
      <w:pPr>
        <w:ind w:right="180" w:firstLine="392"/>
        <w:spacing w:after="0" w:line="266" w:lineRule="auto"/>
        <w:rPr>
          <w:sz w:val="20"/>
          <w:szCs w:val="20"/>
          <w:color w:val="auto"/>
        </w:rPr>
      </w:pPr>
      <w:r>
        <w:rPr>
          <w:rFonts w:ascii="Times New Roman" w:cs="Times New Roman" w:eastAsia="Times New Roman" w:hAnsi="Times New Roman"/>
          <w:sz w:val="17"/>
          <w:szCs w:val="17"/>
          <w:color w:val="auto"/>
        </w:rPr>
        <w:t>In October 2020, we announced a Virtual First work model pursuant to which remote work has become the primary experience for all of our employees and our intention is for our workforce to continue being more distributed over time. However, we have a limited history of operating with a Virtual First workforce and, although we anticipate that our Virtual First work model will have a long-term positive impact on our financial results and business operations, the impact remains uncertain.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spacing w:after="0" w:line="197"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Our shift to a Virtual First work model could make it increasingly difficult to oversee our increasingly distributed workforce and manage our business,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spacing w:after="0" w:line="195"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In addition, as we continue our shift to Virtual First, we will need less office space than we are currently contractually committed to leasing and, as a result, we have recorded and may in the future record impairment charges related to the office spaces we no longer expect to need, which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The extended decline in demand for commercial real estate in San Francisco, in particular, has impacted our subleasing strategy and resulted in us taking additional impairment charges beyond our original expectations.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lack of a significant outbound sales force may limit the potential growth of our business.</w:t>
      </w:r>
    </w:p>
    <w:p>
      <w:pPr>
        <w:spacing w:after="0" w:line="253" w:lineRule="exact"/>
        <w:rPr>
          <w:sz w:val="20"/>
          <w:szCs w:val="20"/>
          <w:color w:val="auto"/>
        </w:rPr>
      </w:pPr>
    </w:p>
    <w:p>
      <w:pPr>
        <w:ind w:right="40" w:firstLine="392"/>
        <w:spacing w:after="0" w:line="261" w:lineRule="auto"/>
        <w:rPr>
          <w:sz w:val="20"/>
          <w:szCs w:val="20"/>
          <w:color w:val="auto"/>
        </w:rPr>
      </w:pPr>
      <w:r>
        <w:rPr>
          <w:rFonts w:ascii="Times New Roman" w:cs="Times New Roman" w:eastAsia="Times New Roman" w:hAnsi="Times New Roman"/>
          <w:sz w:val="17"/>
          <w:szCs w:val="17"/>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significant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expand sales to large organizations, which could lengthen sales cycles and result in greater deployment challenges.</w:t>
      </w:r>
    </w:p>
    <w:p>
      <w:pPr>
        <w:spacing w:after="0" w:line="253"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customer support may harm our relationships with our users and our financial results.</w:t>
      </w:r>
    </w:p>
    <w:p>
      <w:pPr>
        <w:spacing w:after="0" w:line="253"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95"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a strong brand, and if we are unable to maintain and enhance our brand, our ability to expand our base of users will be impaired and our business, results of operations, and financial condition will be harmed.</w:t>
      </w:r>
    </w:p>
    <w:p>
      <w:pPr>
        <w:spacing w:after="0" w:line="16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93"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69"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We have paying users across approximately 180 countries and approximately half of our revenue in the year ended December 31, 2023 was generated from paying users outside the United States. We expect to continue to expand our international operations, which may include employees working in new jurisdictions and providing our products in additional languages. Any new markets or countries into which we attempt to sell subscriptions to our platform may not be receptive. For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spacing w:after="0" w:line="239" w:lineRule="exact"/>
        <w:rPr>
          <w:sz w:val="20"/>
          <w:szCs w:val="20"/>
          <w:color w:val="auto"/>
        </w:rPr>
      </w:pPr>
    </w:p>
    <w:p>
      <w:pPr>
        <w:ind w:left="640" w:hanging="322"/>
        <w:spacing w:after="0" w:line="247" w:lineRule="auto"/>
        <w:tabs>
          <w:tab w:leader="none" w:pos="63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compliance with applicable international laws, regulations, and standards including laws and regulations with respect to labor and employment, privacy, data protection, cybersecurity, AI, consumer protection, tax, export control and sanctions, and unsolicited email, and the risk of penalties to our users and individual members of management or employees if our practices are deemed to be out of compliance;</w:t>
      </w:r>
    </w:p>
    <w:p>
      <w:pPr>
        <w:spacing w:after="0" w:line="250" w:lineRule="exact"/>
        <w:rPr>
          <w:rFonts w:ascii="Times New Roman" w:cs="Times New Roman" w:eastAsia="Times New Roman" w:hAnsi="Times New Roman"/>
          <w:sz w:val="21"/>
          <w:szCs w:val="21"/>
          <w:color w:val="auto"/>
        </w:rPr>
      </w:pPr>
    </w:p>
    <w:p>
      <w:pPr>
        <w:ind w:left="640" w:right="220" w:hanging="322"/>
        <w:spacing w:after="0" w:line="239" w:lineRule="auto"/>
        <w:tabs>
          <w:tab w:leader="none" w:pos="63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recruiting and retaining talented and capable employees in locations outside the United States, and maintaining our company culture across all of our locations, including in light of our Virtual First work model and an increasingly distributed workforce;</w:t>
      </w:r>
    </w:p>
    <w:p>
      <w:pPr>
        <w:spacing w:after="0" w:line="257" w:lineRule="exact"/>
        <w:rPr>
          <w:rFonts w:ascii="Times New Roman" w:cs="Times New Roman" w:eastAsia="Times New Roman" w:hAnsi="Times New Roman"/>
          <w:sz w:val="21"/>
          <w:szCs w:val="21"/>
          <w:color w:val="auto"/>
        </w:rPr>
      </w:pPr>
    </w:p>
    <w:p>
      <w:pPr>
        <w:ind w:left="640" w:right="440" w:hanging="322"/>
        <w:spacing w:after="0" w:line="255" w:lineRule="auto"/>
        <w:tabs>
          <w:tab w:leader="none" w:pos="63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227"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management of an employee base in jurisdictions that may not give us the same employment and retention flexibility as the United States;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operating in jurisdictions that do not protect intellectual property rights in the same manner or to the same extent as the United States;</w:t>
      </w:r>
    </w:p>
    <w:p>
      <w:pPr>
        <w:spacing w:after="0" w:line="256" w:lineRule="exact"/>
        <w:rPr>
          <w:rFonts w:ascii="Times New Roman" w:cs="Times New Roman" w:eastAsia="Times New Roman" w:hAnsi="Times New Roman"/>
          <w:sz w:val="21"/>
          <w:szCs w:val="21"/>
          <w:color w:val="auto"/>
        </w:rPr>
      </w:pPr>
    </w:p>
    <w:p>
      <w:pPr>
        <w:ind w:left="640" w:right="220" w:hanging="322"/>
        <w:spacing w:after="0" w:line="239" w:lineRule="auto"/>
        <w:tabs>
          <w:tab w:leader="none" w:pos="63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257" w:lineRule="exact"/>
        <w:rPr>
          <w:rFonts w:ascii="Times New Roman" w:cs="Times New Roman" w:eastAsia="Times New Roman" w:hAnsi="Times New Roman"/>
          <w:sz w:val="21"/>
          <w:szCs w:val="21"/>
          <w:color w:val="auto"/>
        </w:rPr>
      </w:pPr>
    </w:p>
    <w:p>
      <w:pPr>
        <w:ind w:left="640" w:right="220" w:hanging="322"/>
        <w:spacing w:after="0" w:line="239" w:lineRule="auto"/>
        <w:tabs>
          <w:tab w:leader="none" w:pos="63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243"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political, social, and economic instability, conflicts, and wars, and their regional and global ramifications;</w:t>
      </w:r>
    </w:p>
    <w:p>
      <w:pPr>
        <w:spacing w:after="0" w:line="269" w:lineRule="exact"/>
        <w:rPr>
          <w:rFonts w:ascii="Times New Roman" w:cs="Times New Roman" w:eastAsia="Times New Roman" w:hAnsi="Times New Roman"/>
          <w:sz w:val="21"/>
          <w:szCs w:val="21"/>
          <w:color w:val="auto"/>
        </w:rPr>
      </w:pPr>
    </w:p>
    <w:p>
      <w:pPr>
        <w:ind w:left="640" w:right="820" w:hanging="322"/>
        <w:spacing w:after="0" w:line="239" w:lineRule="auto"/>
        <w:tabs>
          <w:tab w:leader="none" w:pos="63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257" w:lineRule="exact"/>
        <w:rPr>
          <w:rFonts w:ascii="Times New Roman" w:cs="Times New Roman" w:eastAsia="Times New Roman" w:hAnsi="Times New Roman"/>
          <w:sz w:val="21"/>
          <w:szCs w:val="21"/>
          <w:color w:val="auto"/>
        </w:rPr>
      </w:pPr>
    </w:p>
    <w:p>
      <w:pPr>
        <w:ind w:left="640" w:right="220" w:hanging="322"/>
        <w:spacing w:after="0" w:line="239" w:lineRule="auto"/>
        <w:tabs>
          <w:tab w:leader="none" w:pos="63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243"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higher costs of doing business internationally, including increased accounting, travel, infrastructure, and legal compliance costs; and</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impact of natural disasters and public health epidemics on employees, travel and the global economy.</w:t>
      </w:r>
    </w:p>
    <w:p>
      <w:pPr>
        <w:spacing w:after="0" w:line="217"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spacing w:after="0" w:line="195"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69"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95"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199"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96"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relationships with third parties to provide, develop, and create applications that integrate with our platform, and our business could be harmed if we are unable to continue these relationships.</w:t>
      </w:r>
    </w:p>
    <w:p>
      <w:pPr>
        <w:spacing w:after="0" w:line="169" w:lineRule="exact"/>
        <w:rPr>
          <w:sz w:val="20"/>
          <w:szCs w:val="20"/>
          <w:color w:val="auto"/>
        </w:rPr>
      </w:pPr>
    </w:p>
    <w:p>
      <w:pPr>
        <w:ind w:right="160" w:firstLine="392"/>
        <w:spacing w:after="0" w:line="264" w:lineRule="auto"/>
        <w:rPr>
          <w:sz w:val="20"/>
          <w:szCs w:val="20"/>
          <w:color w:val="auto"/>
        </w:rPr>
      </w:pPr>
      <w:r>
        <w:rPr>
          <w:rFonts w:ascii="Times New Roman" w:cs="Times New Roman" w:eastAsia="Times New Roman" w:hAnsi="Times New Roman"/>
          <w:sz w:val="17"/>
          <w:szCs w:val="17"/>
          <w:color w:val="auto"/>
        </w:rPr>
        <w:t>We use software and services licensed and procured from third parties to develop and offer our platform. We may need to obtain additional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00"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We also depend on our ecosystem of developers to create applications that will integrate with our platform. As of December 31, 2023, Dropbox was receiving over 75 billion API calls per month, and just under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95" w:lineRule="exact"/>
        <w:rPr>
          <w:sz w:val="20"/>
          <w:szCs w:val="20"/>
          <w:color w:val="auto"/>
        </w:rPr>
      </w:pPr>
    </w:p>
    <w:p>
      <w:pPr>
        <w:ind w:right="260" w:firstLine="392"/>
        <w:spacing w:after="0" w:line="295" w:lineRule="auto"/>
        <w:rPr>
          <w:sz w:val="20"/>
          <w:szCs w:val="20"/>
          <w:color w:val="auto"/>
        </w:rPr>
      </w:pPr>
      <w:r>
        <w:rPr>
          <w:rFonts w:ascii="Times New Roman" w:cs="Times New Roman" w:eastAsia="Times New Roman" w:hAnsi="Times New Roman"/>
          <w:sz w:val="17"/>
          <w:szCs w:val="17"/>
          <w:color w:val="auto"/>
        </w:rPr>
        <w:t>We may not have the ability to control or prevent these risks. As a result, issues relating to these applications could adversely affect our business, brand, and reputation.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use of open source software could negatively affect our ability to offer and sell subscriptions to our platform and subject us to possible litigation.</w:t>
      </w:r>
    </w:p>
    <w:p>
      <w:pPr>
        <w:spacing w:after="0" w:line="253"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sell subscriptions to our platform and retain users could be harmed by real or perceived material defects or errors in our platform.</w:t>
      </w:r>
    </w:p>
    <w:p>
      <w:pPr>
        <w:spacing w:after="0" w:line="253" w:lineRule="exact"/>
        <w:rPr>
          <w:sz w:val="20"/>
          <w:szCs w:val="20"/>
          <w:color w:val="auto"/>
        </w:rPr>
      </w:pPr>
    </w:p>
    <w:p>
      <w:pPr>
        <w:ind w:right="40" w:firstLine="392"/>
        <w:spacing w:after="0" w:line="263" w:lineRule="auto"/>
        <w:rPr>
          <w:sz w:val="20"/>
          <w:szCs w:val="20"/>
          <w:color w:val="auto"/>
        </w:rPr>
      </w:pPr>
      <w:r>
        <w:rPr>
          <w:rFonts w:ascii="Times New Roman" w:cs="Times New Roman" w:eastAsia="Times New Roman" w:hAnsi="Times New Roman"/>
          <w:sz w:val="17"/>
          <w:szCs w:val="17"/>
          <w:color w:val="auto"/>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99" w:lineRule="exact"/>
        <w:rPr>
          <w:sz w:val="20"/>
          <w:szCs w:val="20"/>
          <w:color w:val="auto"/>
        </w:rPr>
      </w:pPr>
    </w:p>
    <w:p>
      <w:pPr>
        <w:ind w:firstLine="392"/>
        <w:spacing w:after="0" w:line="288" w:lineRule="auto"/>
        <w:rPr>
          <w:sz w:val="20"/>
          <w:szCs w:val="20"/>
          <w:color w:val="auto"/>
        </w:rPr>
      </w:pPr>
      <w:r>
        <w:rPr>
          <w:rFonts w:ascii="Times New Roman" w:cs="Times New Roman" w:eastAsia="Times New Roman" w:hAnsi="Times New Roman"/>
          <w:sz w:val="17"/>
          <w:szCs w:val="17"/>
          <w:color w:val="auto"/>
        </w:rPr>
        <w:t>We also utilize hardware purchased or leased and software and services licensed from third parties on our platform. Any defects in, or unavailability of, our third-party software, services, or hardware that cause interruptions to the availability of our services, loss of data, or performance issues could, among other things:</w:t>
      </w:r>
    </w:p>
    <w:p>
      <w:pPr>
        <w:spacing w:after="0" w:line="200" w:lineRule="exact"/>
        <w:rPr>
          <w:sz w:val="20"/>
          <w:szCs w:val="20"/>
          <w:color w:val="auto"/>
        </w:rPr>
      </w:pPr>
    </w:p>
    <w:p>
      <w:pPr>
        <w:spacing w:after="0" w:line="218" w:lineRule="exact"/>
        <w:rPr>
          <w:sz w:val="20"/>
          <w:szCs w:val="20"/>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cause a reduction in revenue or delay in market acceptance of our platform;</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require us to issue refunds to our users or expose us to claims for damages;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cause us to lose existing users and make it more difficult to attract new users;</w:t>
      </w:r>
    </w:p>
    <w:p>
      <w:pPr>
        <w:spacing w:after="0" w:line="255"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divert our development resources or require us to make extensive changes to our platform, which would increase our expenses;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increase our technical support costs; and</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harm our reputation and brand.</w:t>
      </w:r>
    </w:p>
    <w:p>
      <w:pPr>
        <w:spacing w:after="0" w:line="213"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acquired, and may in the future acquire, other businesses and technologies, which could require significant management attention, disrupt our business operations, cause us to incur debt or dilute stockholder value.</w:t>
      </w:r>
    </w:p>
    <w:p>
      <w:pPr>
        <w:spacing w:after="0" w:line="169" w:lineRule="exact"/>
        <w:rPr>
          <w:sz w:val="20"/>
          <w:szCs w:val="20"/>
          <w:color w:val="auto"/>
        </w:rPr>
      </w:pPr>
    </w:p>
    <w:p>
      <w:pPr>
        <w:ind w:right="720" w:firstLine="392"/>
        <w:spacing w:after="0" w:line="295" w:lineRule="auto"/>
        <w:rPr>
          <w:sz w:val="20"/>
          <w:szCs w:val="20"/>
          <w:color w:val="auto"/>
        </w:rPr>
      </w:pPr>
      <w:r>
        <w:rPr>
          <w:rFonts w:ascii="Times New Roman" w:cs="Times New Roman" w:eastAsia="Times New Roman" w:hAnsi="Times New Roman"/>
          <w:sz w:val="17"/>
          <w:szCs w:val="17"/>
          <w:color w:val="auto"/>
        </w:rPr>
        <w:t>As part of our business strategy, we have acquired or invested in, and may in the future acquire or invest in, other companies, employee teams, or technologies to complement or expand our products, obtain personnel, or otherwise complement or grow our business.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The pursuit of acquisitions or investments may divert the attention of management and cause us to incur various expenses in identifying, investigating, and pursuing suitable acquisitions, whether or not they are consummated.</w:t>
      </w:r>
    </w:p>
    <w:p>
      <w:pPr>
        <w:spacing w:after="0" w:line="173" w:lineRule="exact"/>
        <w:rPr>
          <w:sz w:val="20"/>
          <w:szCs w:val="20"/>
          <w:color w:val="auto"/>
        </w:rPr>
      </w:pPr>
    </w:p>
    <w:p>
      <w:pPr>
        <w:ind w:right="340" w:firstLine="392"/>
        <w:spacing w:after="0" w:line="276" w:lineRule="auto"/>
        <w:rPr>
          <w:sz w:val="20"/>
          <w:szCs w:val="20"/>
          <w:color w:val="auto"/>
        </w:rPr>
      </w:pPr>
      <w:r>
        <w:rPr>
          <w:rFonts w:ascii="Times New Roman" w:cs="Times New Roman" w:eastAsia="Times New Roman" w:hAnsi="Times New Roman"/>
          <w:sz w:val="17"/>
          <w:szCs w:val="17"/>
          <w:color w:val="auto"/>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spacing w:after="0" w:line="188"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If we do complete acquisitions, we may not ultimately strengthen our competitive position or achieve the anticipated benefits from such acquisitions, due to a number of factors, including:</w:t>
      </w:r>
    </w:p>
    <w:p>
      <w:pPr>
        <w:spacing w:after="0" w:line="198" w:lineRule="exact"/>
        <w:rPr>
          <w:sz w:val="20"/>
          <w:szCs w:val="20"/>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acquisition-related costs, liabilities, or tax impacts, some of which may be unanticipated;</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difficulty utilizing or integrating the acquired intellectual property, technology infrastructure, and operations;</w:t>
      </w:r>
    </w:p>
    <w:p>
      <w:pPr>
        <w:spacing w:after="0" w:line="256" w:lineRule="exact"/>
        <w:rPr>
          <w:rFonts w:ascii="Times New Roman" w:cs="Times New Roman" w:eastAsia="Times New Roman" w:hAnsi="Times New Roman"/>
          <w:sz w:val="21"/>
          <w:szCs w:val="21"/>
          <w:color w:val="auto"/>
        </w:rPr>
      </w:pPr>
    </w:p>
    <w:p>
      <w:pPr>
        <w:ind w:left="640" w:right="40" w:hanging="322"/>
        <w:spacing w:after="0" w:line="255" w:lineRule="auto"/>
        <w:tabs>
          <w:tab w:leader="none" w:pos="63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difficulty integrating and retaining key employees of acquired businesses and related challenges motivating and retaining our key employees after such acquisition;</w:t>
      </w:r>
    </w:p>
    <w:p>
      <w:pPr>
        <w:spacing w:after="0" w:line="227"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ineffective or inadequate, controls, procedures, or policies at an acquired business;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inability to effectively offer, price, and support multiple product lines or services offerings of acquired businesses;</w:t>
      </w:r>
    </w:p>
    <w:p>
      <w:pPr>
        <w:spacing w:after="0" w:line="256" w:lineRule="exact"/>
        <w:rPr>
          <w:rFonts w:ascii="Times New Roman" w:cs="Times New Roman" w:eastAsia="Times New Roman" w:hAnsi="Times New Roman"/>
          <w:sz w:val="21"/>
          <w:szCs w:val="21"/>
          <w:color w:val="auto"/>
        </w:rPr>
      </w:pPr>
    </w:p>
    <w:p>
      <w:pPr>
        <w:ind w:left="640" w:right="500" w:hanging="322"/>
        <w:spacing w:after="0" w:line="239" w:lineRule="auto"/>
        <w:tabs>
          <w:tab w:leader="none" w:pos="63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potential unknown liabilities or risks associated with an acquired business, including those arising from existing contractual obligations, security vulnerabilities, cybersecurity incidents, or litigation matters;</w:t>
      </w:r>
    </w:p>
    <w:p>
      <w:pPr>
        <w:spacing w:after="0" w:line="243"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inability to maintain relationships with key customers, suppliers, and partners of an acquired business;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failure to accurately forecast the financial impact of an acquisition transaction, including accounting charges;</w:t>
      </w:r>
    </w:p>
    <w:p>
      <w:pPr>
        <w:spacing w:after="0" w:line="255"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challenges integrating accounting, finance and forecasting practices of acquired business within our business;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lack of experience in new markets, products or technologies;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inability to effectively integrate brand identity of acquired businesses within those of our business;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diversion of management's attention from other business concerns; and</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use of resources that are needed in other parts of our business.</w:t>
      </w:r>
    </w:p>
    <w:p>
      <w:pPr>
        <w:spacing w:after="0" w:line="217"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95" w:lineRule="exact"/>
        <w:rPr>
          <w:sz w:val="20"/>
          <w:szCs w:val="20"/>
          <w:color w:val="auto"/>
        </w:rPr>
      </w:pPr>
    </w:p>
    <w:p>
      <w:pPr>
        <w:ind w:right="40" w:firstLine="392"/>
        <w:spacing w:after="0" w:line="268" w:lineRule="auto"/>
        <w:rPr>
          <w:sz w:val="20"/>
          <w:szCs w:val="20"/>
          <w:color w:val="auto"/>
        </w:rPr>
      </w:pPr>
      <w:r>
        <w:rPr>
          <w:rFonts w:ascii="Times New Roman" w:cs="Times New Roman" w:eastAsia="Times New Roman" w:hAnsi="Times New Roman"/>
          <w:sz w:val="17"/>
          <w:szCs w:val="17"/>
          <w:color w:val="auto"/>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40" w:firstLine="392"/>
        <w:spacing w:after="0" w:line="276" w:lineRule="auto"/>
        <w:rPr>
          <w:sz w:val="20"/>
          <w:szCs w:val="20"/>
          <w:color w:val="auto"/>
        </w:rPr>
      </w:pPr>
      <w:r>
        <w:rPr>
          <w:rFonts w:ascii="Times New Roman" w:cs="Times New Roman" w:eastAsia="Times New Roman" w:hAnsi="Times New Roman"/>
          <w:sz w:val="17"/>
          <w:szCs w:val="17"/>
          <w:color w:val="auto"/>
        </w:rPr>
        <w:t>A significant portion of the purchase price of companies we acquire may be allocated to acquired goodwill. We review goodwill for impairment at least annually. If our acquisitions do not yield expected returns, we may be required to record impairment charges based this assessment, which could adversely affect our results of operations.</w:t>
      </w:r>
    </w:p>
    <w:p>
      <w:pPr>
        <w:spacing w:after="0" w:line="188" w:lineRule="exact"/>
        <w:rPr>
          <w:sz w:val="20"/>
          <w:szCs w:val="20"/>
          <w:color w:val="auto"/>
        </w:rPr>
      </w:pPr>
    </w:p>
    <w:p>
      <w:pPr>
        <w:ind w:right="260" w:firstLine="392"/>
        <w:spacing w:after="0" w:line="276" w:lineRule="auto"/>
        <w:rPr>
          <w:sz w:val="20"/>
          <w:szCs w:val="20"/>
          <w:color w:val="auto"/>
        </w:rPr>
      </w:pPr>
      <w:r>
        <w:rPr>
          <w:rFonts w:ascii="Times New Roman" w:cs="Times New Roman" w:eastAsia="Times New Roman" w:hAnsi="Times New Roman"/>
          <w:sz w:val="17"/>
          <w:szCs w:val="17"/>
          <w:color w:val="auto"/>
        </w:rPr>
        <w:t>Any acquisition we complete could be viewed negatively by users, developers, partners, or investors, and could have adverse effects on our existing business relationships, financial condition, or the value of our capital stock. Further, an acquired business may not achieve the returns or strategic benefits we expected and we may have unanticipated expenses, write-offs or charges related to such acquisitions.</w:t>
      </w:r>
    </w:p>
    <w:p>
      <w:pPr>
        <w:spacing w:after="0" w:line="188"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current and future indebtedness may limit our operating flexibility or otherwise affect our business.</w:t>
      </w:r>
    </w:p>
    <w:p>
      <w:pPr>
        <w:spacing w:after="0" w:line="253"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spacing w:after="0" w:line="173"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For example, the terms of our revolving credit and guarantee agreement, as amended, contain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incurrence covenant and a minimum liquidity balance.</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addition, such current and future indebtedness could:</w:t>
      </w:r>
    </w:p>
    <w:p>
      <w:pPr>
        <w:spacing w:after="0" w:line="274" w:lineRule="exact"/>
        <w:rPr>
          <w:sz w:val="20"/>
          <w:szCs w:val="20"/>
          <w:color w:val="auto"/>
        </w:rPr>
      </w:pPr>
    </w:p>
    <w:p>
      <w:pPr>
        <w:ind w:left="620" w:hanging="302"/>
        <w:spacing w:after="0"/>
        <w:tabs>
          <w:tab w:leader="none" w:pos="6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make it more difficult for us to satisfy our debt obligations, including the 2026 Notes and the 2028 Notes;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increase our vulnerability to general adverse economic and industry conditions;</w:t>
      </w:r>
    </w:p>
    <w:p>
      <w:pPr>
        <w:spacing w:after="0" w:line="256" w:lineRule="exact"/>
        <w:rPr>
          <w:rFonts w:ascii="Times New Roman" w:cs="Times New Roman" w:eastAsia="Times New Roman" w:hAnsi="Times New Roman"/>
          <w:sz w:val="21"/>
          <w:szCs w:val="21"/>
          <w:color w:val="auto"/>
        </w:rPr>
      </w:pPr>
    </w:p>
    <w:p>
      <w:pPr>
        <w:ind w:left="640" w:right="200" w:hanging="322"/>
        <w:spacing w:after="0" w:line="255" w:lineRule="auto"/>
        <w:tabs>
          <w:tab w:leader="none" w:pos="635"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227"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limit our flexibility in planning for, or reacting to, changes in our business and the industry in which we operate;</w:t>
      </w:r>
    </w:p>
    <w:p>
      <w:pPr>
        <w:spacing w:after="0" w:line="256" w:lineRule="exact"/>
        <w:rPr>
          <w:rFonts w:ascii="Times New Roman" w:cs="Times New Roman" w:eastAsia="Times New Roman" w:hAnsi="Times New Roman"/>
          <w:sz w:val="21"/>
          <w:szCs w:val="21"/>
          <w:color w:val="auto"/>
        </w:rPr>
      </w:pPr>
    </w:p>
    <w:p>
      <w:pPr>
        <w:ind w:left="640" w:right="320" w:hanging="322"/>
        <w:spacing w:after="0" w:line="239" w:lineRule="auto"/>
        <w:tabs>
          <w:tab w:leader="none" w:pos="635"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restrict our current and future operations, make it more difficult to successfully execute our business strategy, or restrict us from exploiting business opportunities;</w:t>
      </w:r>
    </w:p>
    <w:p>
      <w:pPr>
        <w:spacing w:after="0" w:line="243"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place us at a competitive disadvantage compared to our competitors that have less indebtedness or are not subject to restrictive covenants;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restrict or otherwise impact the pace and timing of repurchases under our stock repurchase program; and</w:t>
      </w:r>
    </w:p>
    <w:p>
      <w:pPr>
        <w:spacing w:after="0" w:line="256" w:lineRule="exact"/>
        <w:rPr>
          <w:rFonts w:ascii="Times New Roman" w:cs="Times New Roman" w:eastAsia="Times New Roman" w:hAnsi="Times New Roman"/>
          <w:sz w:val="21"/>
          <w:szCs w:val="21"/>
          <w:color w:val="auto"/>
        </w:rPr>
      </w:pPr>
    </w:p>
    <w:p>
      <w:pPr>
        <w:ind w:left="640" w:right="400" w:hanging="322"/>
        <w:spacing w:after="0" w:line="255" w:lineRule="auto"/>
        <w:tabs>
          <w:tab w:leader="none" w:pos="635"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limit our availability to borrow additional funds for working capital, capital expenditures, acquisitions, debt service requirements, execution of our business strategy, or other general purposes.</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of the foregoing could have a material adverse effect on our business, cash flows,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82"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We finance a significant portion of our expenditures through leasing arrangements, and we may enter into additional similar arrangements in the future. As of December 31, 2023, we had an aggregate of $1,173.6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220" w:lineRule="exact"/>
        <w:rPr>
          <w:sz w:val="20"/>
          <w:szCs w:val="20"/>
          <w:color w:val="auto"/>
        </w:rPr>
      </w:pPr>
    </w:p>
    <w:p>
      <w:pPr>
        <w:ind w:left="620" w:hanging="302"/>
        <w:spacing w:after="0"/>
        <w:tabs>
          <w:tab w:leader="none" w:pos="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require repayment of any outstanding lease obligations;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terminate our leasing arrangements;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terminate our access to the leased datacenters we utilize;</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stop delivery of ordered equipment;</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sell or require us to return our leased equipment;</w:t>
      </w:r>
    </w:p>
    <w:p>
      <w:pPr>
        <w:spacing w:after="0" w:line="255"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require repayment of any outstanding amounts drawn on our revolving credit facility;</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terminate our revolving credit facility; or</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require us to pay significant fees, penalties, or damages.</w:t>
      </w:r>
    </w:p>
    <w:p>
      <w:pPr>
        <w:spacing w:after="0" w:line="217"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9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Risks Related to Our Financial Performance or Results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growth rate has declined in recent periods and may continue to slow in the future.</w:t>
      </w:r>
    </w:p>
    <w:p>
      <w:pPr>
        <w:spacing w:after="0" w:line="253" w:lineRule="exact"/>
        <w:rPr>
          <w:sz w:val="20"/>
          <w:szCs w:val="20"/>
          <w:color w:val="auto"/>
        </w:rPr>
      </w:pPr>
    </w:p>
    <w:p>
      <w:pPr>
        <w:ind w:right="20" w:firstLine="392"/>
        <w:spacing w:after="0" w:line="262" w:lineRule="auto"/>
        <w:rPr>
          <w:sz w:val="20"/>
          <w:szCs w:val="20"/>
          <w:color w:val="auto"/>
        </w:rPr>
      </w:pPr>
      <w:r>
        <w:rPr>
          <w:rFonts w:ascii="Times New Roman" w:cs="Times New Roman" w:eastAsia="Times New Roman" w:hAnsi="Times New Roman"/>
          <w:sz w:val="17"/>
          <w:szCs w:val="17"/>
          <w:color w:val="auto"/>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net losses, we may increase expenses in the future, and we may not be able to achieve or maintain profitability.</w:t>
      </w:r>
    </w:p>
    <w:p>
      <w:pPr>
        <w:spacing w:after="0" w:line="253" w:lineRule="exact"/>
        <w:rPr>
          <w:sz w:val="20"/>
          <w:szCs w:val="20"/>
          <w:color w:val="auto"/>
        </w:rPr>
      </w:pPr>
    </w:p>
    <w:p>
      <w:pPr>
        <w:ind w:right="260" w:firstLine="392"/>
        <w:spacing w:after="0" w:line="295" w:lineRule="auto"/>
        <w:rPr>
          <w:sz w:val="20"/>
          <w:szCs w:val="20"/>
          <w:color w:val="auto"/>
        </w:rPr>
      </w:pPr>
      <w:r>
        <w:rPr>
          <w:rFonts w:ascii="Times New Roman" w:cs="Times New Roman" w:eastAsia="Times New Roman" w:hAnsi="Times New Roman"/>
          <w:sz w:val="17"/>
          <w:szCs w:val="17"/>
          <w:color w:val="auto"/>
        </w:rPr>
        <w:t>Although we had been profitable on a GAAP basis in prior fiscal quarters, 2021 was our first profitable full fiscal year and we incurred net losses on an annual basis from our inception to that time. We may, however, not achieve or maintain</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profitability in future periods, or, if we are profitable, we may not fully achieve our profitability targets. As we strive to grow our business, expenses may increase, particularly as we continue to make investments to scale our business, reposition our products or respond to new technologies including significant investments in AI technologies and product development.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spacing w:after="0" w:line="200" w:lineRule="exact"/>
        <w:rPr>
          <w:sz w:val="20"/>
          <w:szCs w:val="20"/>
          <w:color w:val="auto"/>
        </w:rPr>
      </w:pPr>
    </w:p>
    <w:p>
      <w:pPr>
        <w:spacing w:after="0" w:line="221"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169"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7"/>
          <w:szCs w:val="17"/>
          <w:color w:val="auto"/>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quarterly results may fluctuate significantly and may not fully reflect the underlying performance of our business.</w:t>
      </w:r>
    </w:p>
    <w:p>
      <w:pPr>
        <w:spacing w:after="0" w:line="253"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p>
    <w:p>
      <w:pPr>
        <w:spacing w:after="0" w:line="225" w:lineRule="exact"/>
        <w:rPr>
          <w:sz w:val="20"/>
          <w:szCs w:val="20"/>
          <w:color w:val="auto"/>
        </w:rPr>
      </w:pPr>
    </w:p>
    <w:p>
      <w:pPr>
        <w:ind w:left="620" w:hanging="302"/>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retain and upgrade paying users;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attract new paying users and convert registered to paying users;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 timing of expenses and recognition of revenue;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640" w:right="120" w:hanging="322"/>
        <w:spacing w:after="0" w:line="239"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the amount and timing of operating expenses related to the maintenance and expansion of our business, operations, and infrastructure, as well as entry into or exit of operating and finance leases;</w:t>
      </w:r>
    </w:p>
    <w:p>
      <w:pPr>
        <w:spacing w:after="0" w:line="243" w:lineRule="exact"/>
        <w:rPr>
          <w:rFonts w:ascii="Arial" w:cs="Arial" w:eastAsia="Arial" w:hAnsi="Arial"/>
          <w:sz w:val="21"/>
          <w:szCs w:val="21"/>
          <w:color w:val="auto"/>
        </w:rPr>
      </w:pPr>
    </w:p>
    <w:p>
      <w:pPr>
        <w:ind w:left="620" w:hanging="302"/>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the timing of expenses related to acquisitions;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any large indemnification payments to our users or other third parties;</w:t>
      </w:r>
    </w:p>
    <w:p>
      <w:pPr>
        <w:spacing w:after="0" w:line="255" w:lineRule="exact"/>
        <w:rPr>
          <w:rFonts w:ascii="Arial" w:cs="Arial" w:eastAsia="Arial" w:hAnsi="Arial"/>
          <w:sz w:val="21"/>
          <w:szCs w:val="21"/>
          <w:color w:val="auto"/>
        </w:rPr>
      </w:pPr>
    </w:p>
    <w:p>
      <w:pPr>
        <w:ind w:left="620" w:hanging="302"/>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our pricing policies or those of our competitors;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the timing and success of new product feature and service introductions by us or our competitors;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network outages or actual or perceived security breaches;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the competitive dynamics of our industry, including consolidation among competitors;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laws and regulations that impact our business;</w:t>
      </w:r>
    </w:p>
    <w:p>
      <w:pPr>
        <w:spacing w:after="0" w:line="255" w:lineRule="exact"/>
        <w:rPr>
          <w:rFonts w:ascii="Arial" w:cs="Arial" w:eastAsia="Arial" w:hAnsi="Arial"/>
          <w:sz w:val="21"/>
          <w:szCs w:val="21"/>
          <w:color w:val="auto"/>
        </w:rPr>
      </w:pPr>
    </w:p>
    <w:p>
      <w:pPr>
        <w:ind w:left="620" w:hanging="302"/>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general economic and market conditions;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foreign currency exchange rates;</w:t>
      </w:r>
    </w:p>
    <w:p>
      <w:pPr>
        <w:spacing w:after="0" w:line="256" w:lineRule="exact"/>
        <w:rPr>
          <w:rFonts w:ascii="Arial" w:cs="Arial" w:eastAsia="Arial" w:hAnsi="Arial"/>
          <w:sz w:val="21"/>
          <w:szCs w:val="21"/>
          <w:color w:val="auto"/>
        </w:rPr>
      </w:pPr>
    </w:p>
    <w:p>
      <w:pPr>
        <w:ind w:left="640" w:right="520" w:hanging="322"/>
        <w:spacing w:after="0" w:line="239"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catastrophic events, including earthquakes, fires, floods, tsunamis, or other weather events, power loss, telecommunications failures, software or hardware malfunctions, cyber-attack, war, or terrorist attacks, and pandemics;</w:t>
      </w:r>
    </w:p>
    <w:p>
      <w:pPr>
        <w:spacing w:after="0" w:line="257" w:lineRule="exact"/>
        <w:rPr>
          <w:rFonts w:ascii="Arial" w:cs="Arial" w:eastAsia="Arial" w:hAnsi="Arial"/>
          <w:sz w:val="21"/>
          <w:szCs w:val="21"/>
          <w:color w:val="auto"/>
        </w:rPr>
      </w:pPr>
    </w:p>
    <w:p>
      <w:pPr>
        <w:ind w:left="640" w:hanging="322"/>
        <w:spacing w:after="0" w:line="239"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reserves or other non-cash credits or charges, such as the impairment charges as a result of changes in the corporate real estate market which impacted our subleasing strategy in conjunction with our Virtual First model, and releases of deferred tax asset valuation allowances; and</w:t>
      </w:r>
    </w:p>
    <w:p>
      <w:pPr>
        <w:spacing w:after="0" w:line="243" w:lineRule="exact"/>
        <w:rPr>
          <w:rFonts w:ascii="Arial" w:cs="Arial" w:eastAsia="Arial" w:hAnsi="Arial"/>
          <w:sz w:val="21"/>
          <w:szCs w:val="21"/>
          <w:color w:val="auto"/>
        </w:rPr>
      </w:pPr>
    </w:p>
    <w:p>
      <w:pPr>
        <w:ind w:left="620" w:hanging="302"/>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any other impacts of shifting our operations to a Virtual First work model.</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Fluctuation in quarterly results may negatively impact the value of our securities.</w:t>
      </w:r>
    </w:p>
    <w:p>
      <w:pPr>
        <w:spacing w:after="0" w:line="245"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69"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results of operations, which are reported in U.S. dollars, could be adversely affected if currency exchange rates fluctuate substantially in the future.</w:t>
      </w:r>
    </w:p>
    <w:p>
      <w:pPr>
        <w:spacing w:after="0" w:line="253" w:lineRule="exact"/>
        <w:rPr>
          <w:sz w:val="20"/>
          <w:szCs w:val="20"/>
          <w:color w:val="auto"/>
        </w:rPr>
      </w:pPr>
    </w:p>
    <w:p>
      <w:pPr>
        <w:ind w:right="260" w:firstLine="392"/>
        <w:spacing w:after="0" w:line="295" w:lineRule="auto"/>
        <w:rPr>
          <w:sz w:val="20"/>
          <w:szCs w:val="20"/>
          <w:color w:val="auto"/>
        </w:rPr>
      </w:pPr>
      <w:r>
        <w:rPr>
          <w:rFonts w:ascii="Times New Roman" w:cs="Times New Roman" w:eastAsia="Times New Roman" w:hAnsi="Times New Roman"/>
          <w:sz w:val="17"/>
          <w:szCs w:val="17"/>
          <w:color w:val="auto"/>
        </w:rPr>
        <w:t>We conduct our business across approximately 180 countries around the world. As we continue to expand our international operations, we will become more exposed to the effects of fluctuations in currency exchange rates. This exposure</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7"/>
          <w:szCs w:val="17"/>
          <w:color w:val="auto"/>
        </w:rPr>
        <w:t>is the result of selling in multiple currencies and operating in foreign countries where the functional currency is the local currency. In 2023, 27% 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counterparty risk with respect to the convertible note hedge transactions.</w:t>
      </w:r>
    </w:p>
    <w:p>
      <w:pPr>
        <w:spacing w:after="0" w:line="253" w:lineRule="exact"/>
        <w:rPr>
          <w:sz w:val="20"/>
          <w:szCs w:val="20"/>
          <w:color w:val="auto"/>
        </w:rPr>
      </w:pPr>
    </w:p>
    <w:p>
      <w:pPr>
        <w:ind w:right="80" w:firstLine="392"/>
        <w:spacing w:after="0" w:line="262" w:lineRule="auto"/>
        <w:rPr>
          <w:sz w:val="20"/>
          <w:szCs w:val="20"/>
          <w:color w:val="auto"/>
        </w:rPr>
      </w:pPr>
      <w:r>
        <w:rPr>
          <w:rFonts w:ascii="Times New Roman" w:cs="Times New Roman" w:eastAsia="Times New Roman" w:hAnsi="Times New Roman"/>
          <w:sz w:val="17"/>
          <w:szCs w:val="17"/>
          <w:color w:val="auto"/>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certain other tax attributes may be limited.</w:t>
      </w:r>
    </w:p>
    <w:p>
      <w:pPr>
        <w:spacing w:after="0" w:line="253"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7"/>
          <w:szCs w:val="17"/>
          <w:color w:val="auto"/>
        </w:rPr>
        <w:t>As of December 31, 2023, we had federal, state, and foreign net operating loss carryforwards and federal and state research credit carryforwards available to reduce our future taxable income and/or tax liabilities. It is possible that we will not generate sufficient taxable income in time to use all of these net operating loss carryforwards and/or research credit carryforwards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200"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69" w:lineRule="exact"/>
        <w:rPr>
          <w:sz w:val="20"/>
          <w:szCs w:val="20"/>
          <w:color w:val="auto"/>
        </w:rPr>
      </w:pPr>
    </w:p>
    <w:p>
      <w:pPr>
        <w:ind w:right="300" w:firstLine="392"/>
        <w:spacing w:after="0" w:line="266" w:lineRule="auto"/>
        <w:rPr>
          <w:sz w:val="20"/>
          <w:szCs w:val="20"/>
          <w:color w:val="auto"/>
        </w:rPr>
      </w:pPr>
      <w:r>
        <w:rPr>
          <w:rFonts w:ascii="Times New Roman" w:cs="Times New Roman" w:eastAsia="Times New Roman" w:hAnsi="Times New Roman"/>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subscriptions to our platform, or otherwise harm our business, results of operations, and financial condition.</w:t>
      </w:r>
    </w:p>
    <w:p>
      <w:pPr>
        <w:spacing w:after="0" w:line="193"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69"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 Any such changes could increase our liabilities for taxes, interest and penalties, lead to higher effective tax rates, and harm our cash flows,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For example, the Organization for Economic Cooperation and Development (“OECD”) and many countries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have begun to adopt these proposals. In December 2022, the Council of the European Union (“EU”) formally adopted the EU Minimum Tax Directive, which would require member states to adopt Pillar Two into their domestic law. The directive requires the rules to initially become effective for fiscal years starting on or after December 31, 2023. Ireland and certain other jurisdictions in which we operate have enacted legislation to implement Pillar Two. Other countries are actively considering changes to their tax laws to adopt certain parts of the OECD’s proposals. The enactment of Pillar Two legislation is not expected to have a material adverse effect on the Company’s effective tax rate, financial position, results of operations, and cash flows.</w:t>
      </w:r>
    </w:p>
    <w:p>
      <w:pPr>
        <w:spacing w:after="0" w:line="20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Other changes to U.S. or non-U.S. tax laws could have an adverse impact on our business, results of operations, financial condition and cash flows.</w:t>
      </w:r>
    </w:p>
    <w:p>
      <w:pPr>
        <w:spacing w:after="0" w:line="245"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have publicly disclosed market opportunity estimates, growth forecasts, and key metrics, including the key metrics included in this Quarterly Report on Form 10-Q, as well as in our other public statements, which could prove to be inaccurate, and any real or perceived inaccuracies may harm our reputation and negatively affect our business.</w:t>
      </w:r>
    </w:p>
    <w:p>
      <w:pPr>
        <w:spacing w:after="0" w:line="187"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9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Risks Related to Legal and Regulatory Compliance</w:t>
      </w:r>
    </w:p>
    <w:p>
      <w:pPr>
        <w:spacing w:after="0" w:line="24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69" w:lineRule="exact"/>
        <w:rPr>
          <w:sz w:val="20"/>
          <w:szCs w:val="20"/>
          <w:color w:val="auto"/>
        </w:rPr>
      </w:pPr>
    </w:p>
    <w:p>
      <w:pPr>
        <w:ind w:right="120" w:firstLine="392"/>
        <w:spacing w:after="0" w:line="263" w:lineRule="auto"/>
        <w:rPr>
          <w:sz w:val="20"/>
          <w:szCs w:val="20"/>
          <w:color w:val="auto"/>
        </w:rPr>
      </w:pPr>
      <w:r>
        <w:rPr>
          <w:rFonts w:ascii="Times New Roman" w:cs="Times New Roman" w:eastAsia="Times New Roman" w:hAnsi="Times New Roman"/>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99"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200" w:lineRule="exact"/>
        <w:rPr>
          <w:sz w:val="20"/>
          <w:szCs w:val="20"/>
          <w:color w:val="auto"/>
        </w:rPr>
      </w:pPr>
    </w:p>
    <w:p>
      <w:pPr>
        <w:spacing w:after="0" w:line="214" w:lineRule="exact"/>
        <w:rPr>
          <w:sz w:val="20"/>
          <w:szCs w:val="20"/>
          <w:color w:val="auto"/>
        </w:rPr>
      </w:pPr>
    </w:p>
    <w:p>
      <w:pPr>
        <w:ind w:right="560" w:firstLine="392"/>
        <w:spacing w:after="0" w:line="295" w:lineRule="auto"/>
        <w:rPr>
          <w:sz w:val="20"/>
          <w:szCs w:val="20"/>
          <w:color w:val="auto"/>
        </w:rPr>
      </w:pPr>
      <w:r>
        <w:rPr>
          <w:rFonts w:ascii="Times New Roman" w:cs="Times New Roman" w:eastAsia="Times New Roman" w:hAnsi="Times New Roman"/>
          <w:sz w:val="17"/>
          <w:szCs w:val="17"/>
          <w:color w:val="auto"/>
        </w:rPr>
        <w:t>Our platform depends on the ability of our users to access the internet and our platform has been blocked or restricted in some countries for various reasons. For example, our platform is blocked in the People’s Republic of China. If we fail to</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520"/>
        <w:spacing w:after="0" w:line="295" w:lineRule="auto"/>
        <w:rPr>
          <w:sz w:val="20"/>
          <w:szCs w:val="20"/>
          <w:color w:val="auto"/>
        </w:rPr>
      </w:pPr>
      <w:r>
        <w:rPr>
          <w:rFonts w:ascii="Times New Roman" w:cs="Times New Roman" w:eastAsia="Times New Roman" w:hAnsi="Times New Roman"/>
          <w:sz w:val="17"/>
          <w:szCs w:val="17"/>
          <w:color w:val="auto"/>
        </w:rPr>
        <w:t>anticipate developments in the law, or fail for any reason to comply with relevant law, our platform could be further blocked or restricted and we could be exposed to significant liability that could harm our business.</w:t>
      </w:r>
    </w:p>
    <w:p>
      <w:pPr>
        <w:spacing w:after="0" w:line="173" w:lineRule="exact"/>
        <w:rPr>
          <w:sz w:val="20"/>
          <w:szCs w:val="20"/>
          <w:color w:val="auto"/>
        </w:rPr>
      </w:pPr>
    </w:p>
    <w:p>
      <w:pPr>
        <w:ind w:right="140" w:firstLine="392"/>
        <w:spacing w:after="0" w:line="266" w:lineRule="auto"/>
        <w:rPr>
          <w:sz w:val="20"/>
          <w:szCs w:val="20"/>
          <w:color w:val="auto"/>
        </w:rPr>
      </w:pPr>
      <w:r>
        <w:rPr>
          <w:rFonts w:ascii="Times New Roman" w:cs="Times New Roman" w:eastAsia="Times New Roman" w:hAnsi="Times New Roman"/>
          <w:sz w:val="17"/>
          <w:szCs w:val="17"/>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93"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69"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204" w:lineRule="exact"/>
        <w:rPr>
          <w:sz w:val="20"/>
          <w:szCs w:val="20"/>
          <w:color w:val="auto"/>
        </w:rPr>
      </w:pPr>
    </w:p>
    <w:p>
      <w:pPr>
        <w:ind w:right="80" w:firstLine="392"/>
        <w:spacing w:after="0" w:line="262" w:lineRule="auto"/>
        <w:rPr>
          <w:sz w:val="20"/>
          <w:szCs w:val="20"/>
          <w:color w:val="auto"/>
        </w:rPr>
      </w:pPr>
      <w:r>
        <w:rPr>
          <w:rFonts w:ascii="Times New Roman" w:cs="Times New Roman" w:eastAsia="Times New Roman" w:hAnsi="Times New Roman"/>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Our actual or perceived failure to comply with privacy, data protection, and information security laws, regulations, and obligations could harm our business.</w:t>
      </w:r>
    </w:p>
    <w:p>
      <w:pPr>
        <w:spacing w:after="0" w:line="253" w:lineRule="exact"/>
        <w:rPr>
          <w:sz w:val="20"/>
          <w:szCs w:val="20"/>
          <w:color w:val="auto"/>
        </w:rPr>
      </w:pPr>
    </w:p>
    <w:p>
      <w:pPr>
        <w:ind w:right="20" w:firstLine="392"/>
        <w:spacing w:after="0" w:line="262" w:lineRule="auto"/>
        <w:rPr>
          <w:sz w:val="20"/>
          <w:szCs w:val="20"/>
          <w:color w:val="auto"/>
        </w:rPr>
      </w:pPr>
      <w:r>
        <w:rPr>
          <w:rFonts w:ascii="Times New Roman" w:cs="Times New Roman" w:eastAsia="Times New Roman" w:hAnsi="Times New Roman"/>
          <w:sz w:val="17"/>
          <w:szCs w:val="17"/>
          <w:color w:val="auto"/>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01" w:lineRule="exact"/>
        <w:rPr>
          <w:sz w:val="20"/>
          <w:szCs w:val="20"/>
          <w:color w:val="auto"/>
        </w:rPr>
      </w:pPr>
    </w:p>
    <w:p>
      <w:pPr>
        <w:ind w:right="560" w:firstLine="392"/>
        <w:spacing w:after="0" w:line="295" w:lineRule="auto"/>
        <w:rPr>
          <w:sz w:val="20"/>
          <w:szCs w:val="20"/>
          <w:color w:val="auto"/>
        </w:rPr>
      </w:pPr>
      <w:r>
        <w:rPr>
          <w:rFonts w:ascii="Times New Roman" w:cs="Times New Roman" w:eastAsia="Times New Roman" w:hAnsi="Times New Roman"/>
          <w:sz w:val="17"/>
          <w:szCs w:val="17"/>
          <w:color w:val="auto"/>
        </w:rPr>
        <w:t>We also expect that there will continue to be new laws, regulations, and industry standards concerning privacy, data protection, AI, and information security proposed and enacted in various jurisdictions.</w:t>
      </w:r>
    </w:p>
    <w:p>
      <w:pPr>
        <w:spacing w:after="0" w:line="173"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On July 10, 2023, the European Commission adopted an adequacy decision relating to the transfer of personal data from the European Economic Area (“EEA”) to the U.S. that takes place under the EU-U.S. Data Privacy Framework (“DPF”). The DPF is the successor to the EU-U.S. Privacy Shield (“Privacy Shield”) and allows participating entities to transfer personal data to the U.S. As we continued to participate in Privacy Shield, we transitioned automatically to the DPF. The DPF also applies to</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transfers from the UK and Switzerland to the U.S. Switzerland must also adopt its own adequacy decision, which is expected to happen shortly.</w:t>
      </w:r>
    </w:p>
    <w:p>
      <w:pPr>
        <w:spacing w:after="0" w:line="249"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On July 16, 2020, the Court of Justice of the European Union (“CJEU”) imposed additional obligations on companies relying on standard contractual clauses approved by the European Commission (“SCCs”) to transfer personal data. A recent decision by the Irish Data Protection Commission (“IDPC”) found the additional measures employed by Meta Platforms, Inc. (“Meta”) in response to the CJEU decision to be inadequate, resulting in an order for Meta to suspend transfers of EU data to the US. This decision was limited to Meta, but similar decisions against other providers are possible. The CJEU and IDPC decisions may result in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spacing w:after="0" w:line="206"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7"/>
          <w:szCs w:val="17"/>
          <w:color w:val="auto"/>
        </w:rPr>
        <w:t>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For example, Virginia, Colorado, Utah, and Connecticut have each passed laws similar to the CCPA and CPRA that took effect in 2023; Florida, Montana, Oregon, and Texas have enacted similar laws that have taken effect in 2024; Tennessee, Delaware, New Jersey, Nebraska, Iowa, Maryland, Minnesota, and New Hampshire have enacted similar laws that go into effect in 2025, and Indiana, Kentucky, and Rhode Island have enacted similar laws that will go into effect in 2026. Other laws relating to privacy and cybersecurity, many of which are similar to the CCPA and CPRA, are being considered by other state legislatures, and the U.S. federal government is contemplating federal privacy legislation. These developments create the potential for a patchwork of overlapping but different laws throughout the U.S. relating to privacy and cybersecurity.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 Further, the EU revised its Cybersecurity Directive (“NIS2”), with EU member states obligated to transpose it into national law by October 17, 2024. NIS2, among other things, obligates companies to adopt or update policies and procedures on issues such as incident handling and supply chain security, implementing certain administrative measures, and requires top management’s involvement in cybersecurity risk-management measures, with top management potentially held liable for non-compliance. More generally, NIS2 provides for significant penalties for noncompliance, requiring EU member states to provide for a maximum fine level of at least €10,000,000 or 2% of annual turnover, whichever is greater.</w:t>
      </w:r>
    </w:p>
    <w:p>
      <w:pPr>
        <w:spacing w:after="0" w:line="213"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73"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spacing w:after="0" w:line="200" w:lineRule="exact"/>
        <w:rPr>
          <w:sz w:val="20"/>
          <w:szCs w:val="20"/>
          <w:color w:val="auto"/>
        </w:rPr>
      </w:pPr>
    </w:p>
    <w:p>
      <w:pPr>
        <w:spacing w:after="0" w:line="214" w:lineRule="exact"/>
        <w:rPr>
          <w:sz w:val="20"/>
          <w:szCs w:val="20"/>
          <w:color w:val="auto"/>
        </w:rPr>
      </w:pPr>
    </w:p>
    <w:p>
      <w:pPr>
        <w:ind w:right="40" w:firstLine="392"/>
        <w:spacing w:after="0" w:line="265" w:lineRule="auto"/>
        <w:rPr>
          <w:sz w:val="20"/>
          <w:szCs w:val="20"/>
          <w:color w:val="auto"/>
        </w:rPr>
      </w:pPr>
      <w:r>
        <w:rPr>
          <w:rFonts w:ascii="Times New Roman" w:cs="Times New Roman" w:eastAsia="Times New Roman" w:hAnsi="Times New Roman"/>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adversely impacted by changes in internet access for our users or laws specifically governing the internet.</w:t>
      </w:r>
    </w:p>
    <w:p>
      <w:pPr>
        <w:spacing w:after="0" w:line="253"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220" w:lineRule="exact"/>
        <w:rPr>
          <w:sz w:val="20"/>
          <w:szCs w:val="20"/>
          <w:color w:val="auto"/>
        </w:rPr>
      </w:pPr>
    </w:p>
    <w:p>
      <w:pPr>
        <w:ind w:left="620" w:hanging="302"/>
        <w:spacing w:after="0"/>
        <w:tabs>
          <w:tab w:leader="none" w:pos="6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implement usage-based pricing;</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discount pricing for competitive products;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otherwise materially change their pricing rates or schemes;</w:t>
      </w:r>
    </w:p>
    <w:p>
      <w:pPr>
        <w:spacing w:after="0" w:line="255"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charge us to deliver our traffic at certain levels or at all;</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throttle traffic based on its source or type;</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implement bandwidth caps or other usage restrictions; or</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otherwise try to monetize or control access to their networks.</w:t>
      </w:r>
    </w:p>
    <w:p>
      <w:pPr>
        <w:spacing w:after="0" w:line="217" w:lineRule="exact"/>
        <w:rPr>
          <w:sz w:val="20"/>
          <w:szCs w:val="20"/>
          <w:color w:val="auto"/>
        </w:rPr>
      </w:pPr>
    </w:p>
    <w:p>
      <w:pPr>
        <w:ind w:right="80" w:firstLine="392"/>
        <w:spacing w:after="0" w:line="262" w:lineRule="auto"/>
        <w:rPr>
          <w:sz w:val="20"/>
          <w:szCs w:val="20"/>
          <w:color w:val="auto"/>
        </w:rPr>
      </w:pPr>
      <w:r>
        <w:rPr>
          <w:rFonts w:ascii="Times New Roman" w:cs="Times New Roman" w:eastAsia="Times New Roman" w:hAnsi="Times New Roman"/>
          <w:sz w:val="17"/>
          <w:szCs w:val="17"/>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80" w:firstLine="392"/>
        <w:spacing w:after="0" w:line="264" w:lineRule="auto"/>
        <w:rPr>
          <w:sz w:val="20"/>
          <w:szCs w:val="20"/>
          <w:color w:val="auto"/>
        </w:rPr>
      </w:pPr>
      <w:r>
        <w:rPr>
          <w:rFonts w:ascii="Times New Roman" w:cs="Times New Roman" w:eastAsia="Times New Roman" w:hAnsi="Times New Roman"/>
          <w:sz w:val="17"/>
          <w:szCs w:val="17"/>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96"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69" w:lineRule="exact"/>
        <w:rPr>
          <w:sz w:val="20"/>
          <w:szCs w:val="20"/>
          <w:color w:val="auto"/>
        </w:rPr>
      </w:pPr>
    </w:p>
    <w:p>
      <w:pPr>
        <w:ind w:firstLine="392"/>
        <w:spacing w:after="0" w:line="259" w:lineRule="auto"/>
        <w:rPr>
          <w:sz w:val="20"/>
          <w:szCs w:val="20"/>
          <w:color w:val="auto"/>
        </w:rPr>
      </w:pPr>
      <w:r>
        <w:rPr>
          <w:rFonts w:ascii="Times New Roman" w:cs="Times New Roman" w:eastAsia="Times New Roman" w:hAnsi="Times New Roman"/>
          <w:sz w:val="17"/>
          <w:szCs w:val="17"/>
          <w:color w:val="auto"/>
        </w:rPr>
        <w:t>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in the section titled "Legal Proceedings," we have recently been involved in legal proceedings against Motion Offense, which alleged that Dropbox infringes certain of its patents. A jury trial was conducted in May 2023. The jury found in favor of Dropbox on all counts including non-infringement and invalidity of the patents and awarded no damages to Motion Offense. In August 2024, the court entered judgment in line with the May 2023 jury verdict. On September 27, 2024, Motion Offense filed a Motion for Judgment as a Matter of Law and a (renewed) Motion for a New Trial. We filed our responses on October 25, 2024, and Motion Offense’s replies will be due by November 15, 2024. The final judgment may be appealed to the Federal Circuit. It is not possible presently to either (i) determine the final outcome of this matter or (ii) estimate any maximum possible exposure or range of loss.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protect our intellectual property rights and proprietary information could diminish our brand and other intangible assets.</w:t>
      </w:r>
    </w:p>
    <w:p>
      <w:pPr>
        <w:spacing w:after="0" w:line="253" w:lineRule="exact"/>
        <w:rPr>
          <w:sz w:val="20"/>
          <w:szCs w:val="20"/>
          <w:color w:val="auto"/>
        </w:rPr>
      </w:pPr>
    </w:p>
    <w:p>
      <w:pPr>
        <w:ind w:firstLine="314"/>
        <w:spacing w:after="0" w:line="259" w:lineRule="auto"/>
        <w:rPr>
          <w:sz w:val="20"/>
          <w:szCs w:val="20"/>
          <w:color w:val="auto"/>
        </w:rPr>
      </w:pPr>
      <w:r>
        <w:rPr>
          <w:rFonts w:ascii="Times New Roman" w:cs="Times New Roman" w:eastAsia="Times New Roman" w:hAnsi="Times New Roman"/>
          <w:sz w:val="17"/>
          <w:szCs w:val="17"/>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1,750 issued patents and more than 250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our Class A common stock may be volatile, and you could lose all or part of your investment.</w:t>
      </w:r>
    </w:p>
    <w:p>
      <w:pPr>
        <w:spacing w:after="0" w:line="253" w:lineRule="exact"/>
        <w:rPr>
          <w:sz w:val="20"/>
          <w:szCs w:val="20"/>
          <w:color w:val="auto"/>
        </w:rPr>
      </w:pPr>
    </w:p>
    <w:p>
      <w:pPr>
        <w:ind w:right="340" w:firstLine="392"/>
        <w:spacing w:after="0" w:line="295" w:lineRule="auto"/>
        <w:rPr>
          <w:sz w:val="20"/>
          <w:szCs w:val="20"/>
          <w:color w:val="auto"/>
        </w:rPr>
      </w:pPr>
      <w:r>
        <w:rPr>
          <w:rFonts w:ascii="Times New Roman" w:cs="Times New Roman" w:eastAsia="Times New Roman" w:hAnsi="Times New Roman"/>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but are not limited to, the following:</w:t>
      </w:r>
    </w:p>
    <w:p>
      <w:pPr>
        <w:spacing w:after="0" w:line="198" w:lineRule="exact"/>
        <w:rPr>
          <w:sz w:val="20"/>
          <w:szCs w:val="20"/>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price and volume fluctuations in the overall stock market from time-to-time;</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volatility in the trading prices and trading volumes of technology stocks;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in operating performance and stock market valuations of other technology companies generally, or those in our industry in particular;</w:t>
      </w:r>
    </w:p>
    <w:p>
      <w:pPr>
        <w:spacing w:after="0" w:line="255"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sales of shares of our Class A common stock by us or our stockholders;</w:t>
      </w:r>
    </w:p>
    <w:p>
      <w:pPr>
        <w:spacing w:after="0" w:line="256" w:lineRule="exact"/>
        <w:rPr>
          <w:rFonts w:ascii="Times New Roman" w:cs="Times New Roman" w:eastAsia="Times New Roman" w:hAnsi="Times New Roman"/>
          <w:sz w:val="21"/>
          <w:szCs w:val="21"/>
          <w:color w:val="auto"/>
        </w:rPr>
      </w:pPr>
    </w:p>
    <w:p>
      <w:pPr>
        <w:ind w:left="640" w:hanging="322"/>
        <w:spacing w:after="0" w:line="239" w:lineRule="auto"/>
        <w:tabs>
          <w:tab w:leader="none" w:pos="63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243"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financial projections we may provide to the public, any changes in those projections, or our failure to meet those projections;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announcements by us or our competitors of new products, features, or services;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255"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actual or anticipated changes in our results of operations or fluctuations in our results of operations;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actual or anticipated changes in our key metrics;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actual or anticipated developments in our business, our competitors’ businesses or the competitive landscape generally;</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actual or perceived breaches of, or failures related to, privacy, data protection or data security;</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litigation involving us, our industry, or both, or investigations by regulators into our operations or those of our competitors;</w:t>
      </w:r>
    </w:p>
    <w:p>
      <w:pPr>
        <w:spacing w:after="0" w:line="255"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204" w:lineRule="exact"/>
        <w:rPr>
          <w:rFonts w:ascii="Times New Roman" w:cs="Times New Roman" w:eastAsia="Times New Roman" w:hAnsi="Times New Roman"/>
          <w:sz w:val="21"/>
          <w:szCs w:val="21"/>
          <w:color w:val="auto"/>
        </w:rPr>
      </w:pPr>
    </w:p>
    <w:p>
      <w:pPr>
        <w:ind w:left="640" w:right="220" w:hanging="322"/>
        <w:spacing w:after="0" w:line="279" w:lineRule="auto"/>
        <w:tabs>
          <w:tab w:leader="none" w:pos="6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or completed transactions, which may include acquisitions of businesses, products, services, or technologies, financing arrangements, or joint ventures or partnerships by us or our competitors;</w:t>
      </w:r>
    </w:p>
    <w:p>
      <w:pPr>
        <w:spacing w:after="0" w:line="21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in accounting standards, policies, guidelines, interpretations, or principles;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significant change in our management;</w:t>
      </w: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20" w:hanging="302"/>
        <w:spacing w:after="0"/>
        <w:tabs>
          <w:tab w:leader="none" w:pos="6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inclusion, exclusion, or deletion of our stock from any trading indices, including the S&amp;P 400 Index, to which we were recently added; and</w:t>
      </w:r>
    </w:p>
    <w:p>
      <w:pPr>
        <w:spacing w:after="0" w:line="256" w:lineRule="exact"/>
        <w:rPr>
          <w:rFonts w:ascii="Times New Roman" w:cs="Times New Roman" w:eastAsia="Times New Roman" w:hAnsi="Times New Roman"/>
          <w:sz w:val="21"/>
          <w:szCs w:val="21"/>
          <w:color w:val="auto"/>
        </w:rPr>
      </w:pPr>
    </w:p>
    <w:p>
      <w:pPr>
        <w:ind w:left="640" w:right="380" w:hanging="322"/>
        <w:spacing w:after="0" w:line="247" w:lineRule="auto"/>
        <w:tabs>
          <w:tab w:leader="none" w:pos="63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general economic conditions and slow or negative growth of our markets and catastrophic events, including earthquakes, fires, floods, tsunamis, or other weather events, power loss, telecommunications failures, software or hardware malfunctions, cyber-attack, war, or other armed conflict, or terrorist attacks, and pandemics.</w:t>
      </w:r>
    </w:p>
    <w:p>
      <w:pPr>
        <w:spacing w:after="0" w:line="212"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In addition, in the past, following periods of volatility in the overall market and the market price of a particular company’s securities, securities class action litigation has often been instituted against these companies. Any securities litigation that may be instituted against us in the future could result in substantial costs and a diversion of our management’s attention and resources.</w:t>
      </w:r>
    </w:p>
    <w:p>
      <w:pPr>
        <w:spacing w:after="0" w:line="184"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69"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Our Class A common stock has one vote per share, our Class B common stock has ten votes per share, and our Class C common stock has no voting rights, except as otherwise required by law. As of September 30, 2024, our directors and executive officers, and their respective affiliates, held in the aggregate 77.2% of the voting power of our capital stock, with Mr. Houston holding approximately 77.0% of the voting power of our capital stock. We are including the Co-Founder Grant (as defined in “Significant Impacts of Stock-Based Compensation” included in Part II, Item 7 of this report)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203"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spacing w:after="0" w:line="200" w:lineRule="exact"/>
        <w:rPr>
          <w:sz w:val="20"/>
          <w:szCs w:val="20"/>
          <w:color w:val="auto"/>
        </w:rPr>
      </w:pPr>
    </w:p>
    <w:p>
      <w:pPr>
        <w:jc w:val="both"/>
        <w:ind w:right="280" w:firstLine="392"/>
        <w:spacing w:after="0" w:line="276" w:lineRule="auto"/>
        <w:rPr>
          <w:sz w:val="20"/>
          <w:szCs w:val="20"/>
          <w:color w:val="auto"/>
        </w:rPr>
      </w:pPr>
      <w:r>
        <w:rPr>
          <w:rFonts w:ascii="Times New Roman" w:cs="Times New Roman" w:eastAsia="Times New Roman" w:hAnsi="Times New Roman"/>
          <w:sz w:val="17"/>
          <w:szCs w:val="17"/>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Substantial future sales could depress the market price of our Class A common stock.</w:t>
      </w:r>
    </w:p>
    <w:p>
      <w:pPr>
        <w:spacing w:after="0" w:line="253"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9" w:lineRule="exact"/>
        <w:rPr>
          <w:sz w:val="20"/>
          <w:szCs w:val="20"/>
          <w:color w:val="auto"/>
        </w:rPr>
      </w:pPr>
    </w:p>
    <w:p>
      <w:pPr>
        <w:ind w:right="6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Transactions relating to our 2026 Notes and 2028 Notes may dilute the ownership interest of stockholders, or may otherwise depress the price of our common stock.</w:t>
      </w:r>
    </w:p>
    <w:p>
      <w:pPr>
        <w:spacing w:after="0" w:line="169"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7"/>
          <w:szCs w:val="17"/>
          <w:color w:val="auto"/>
        </w:rPr>
        <w:t>If the 2026 Notes or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common stock upon conversion of the 2026 Notes or the 2028 Notes with respect to our conversion obligation in excess of the 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Notes. Anticipated future issuances of shares of our Class A common stock upon conversion of the 2026 Notes or 2028 Notes could depress the price of our Class A common stock.</w:t>
      </w:r>
    </w:p>
    <w:p>
      <w:pPr>
        <w:spacing w:after="0" w:line="197"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69"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234" w:lineRule="exact"/>
        <w:rPr>
          <w:sz w:val="20"/>
          <w:szCs w:val="20"/>
          <w:color w:val="auto"/>
        </w:rPr>
      </w:pPr>
    </w:p>
    <w:p>
      <w:pPr>
        <w:ind w:left="640" w:right="220" w:hanging="322"/>
        <w:spacing w:after="0" w:line="239" w:lineRule="auto"/>
        <w:tabs>
          <w:tab w:leader="none" w:pos="63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transaction that would result in a change in control of our company requires the approval of a majority of our outstanding Class B common stock voting as a separate class;</w:t>
      </w:r>
    </w:p>
    <w:p>
      <w:pPr>
        <w:spacing w:after="0" w:line="257" w:lineRule="exact"/>
        <w:rPr>
          <w:rFonts w:ascii="Times New Roman" w:cs="Times New Roman" w:eastAsia="Times New Roman" w:hAnsi="Times New Roman"/>
          <w:sz w:val="21"/>
          <w:szCs w:val="21"/>
          <w:color w:val="auto"/>
        </w:rPr>
      </w:pPr>
    </w:p>
    <w:p>
      <w:pPr>
        <w:ind w:left="640" w:right="60" w:hanging="322"/>
        <w:spacing w:after="0" w:line="247" w:lineRule="auto"/>
        <w:tabs>
          <w:tab w:leader="none" w:pos="63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250" w:lineRule="exact"/>
        <w:rPr>
          <w:rFonts w:ascii="Times New Roman" w:cs="Times New Roman" w:eastAsia="Times New Roman" w:hAnsi="Times New Roman"/>
          <w:sz w:val="21"/>
          <w:szCs w:val="21"/>
          <w:color w:val="auto"/>
        </w:rPr>
      </w:pPr>
    </w:p>
    <w:p>
      <w:pPr>
        <w:ind w:left="640" w:right="220" w:hanging="322"/>
        <w:spacing w:after="0" w:line="254" w:lineRule="auto"/>
        <w:tabs>
          <w:tab w:leader="none" w:pos="63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245" w:lineRule="exact"/>
        <w:rPr>
          <w:rFonts w:ascii="Times New Roman" w:cs="Times New Roman" w:eastAsia="Times New Roman" w:hAnsi="Times New Roman"/>
          <w:sz w:val="21"/>
          <w:szCs w:val="21"/>
          <w:color w:val="auto"/>
        </w:rPr>
      </w:pPr>
    </w:p>
    <w:p>
      <w:pPr>
        <w:ind w:left="640" w:right="20" w:hanging="322"/>
        <w:spacing w:after="0" w:line="250" w:lineRule="auto"/>
        <w:tabs>
          <w:tab w:leader="none" w:pos="63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248" w:lineRule="exact"/>
        <w:rPr>
          <w:rFonts w:ascii="Times New Roman" w:cs="Times New Roman" w:eastAsia="Times New Roman" w:hAnsi="Times New Roman"/>
          <w:sz w:val="21"/>
          <w:szCs w:val="21"/>
          <w:color w:val="auto"/>
        </w:rPr>
      </w:pPr>
    </w:p>
    <w:p>
      <w:pPr>
        <w:ind w:left="640" w:right="60" w:hanging="322"/>
        <w:spacing w:after="0" w:line="239" w:lineRule="auto"/>
        <w:tabs>
          <w:tab w:leader="none" w:pos="63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257" w:lineRule="exact"/>
        <w:rPr>
          <w:rFonts w:ascii="Times New Roman" w:cs="Times New Roman" w:eastAsia="Times New Roman" w:hAnsi="Times New Roman"/>
          <w:sz w:val="21"/>
          <w:szCs w:val="21"/>
          <w:color w:val="auto"/>
        </w:rPr>
      </w:pPr>
    </w:p>
    <w:p>
      <w:pPr>
        <w:ind w:left="640" w:right="360" w:hanging="322"/>
        <w:spacing w:after="0" w:line="239" w:lineRule="auto"/>
        <w:tabs>
          <w:tab w:leader="none" w:pos="63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after the Voting Threshold Date our stockholders will only be able to take action at a meeting of stockholders, and will not be able to take action by written consent for any matter;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640" w:right="460" w:hanging="322"/>
        <w:spacing w:after="0" w:line="239" w:lineRule="auto"/>
        <w:tabs>
          <w:tab w:leader="none" w:pos="63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until the Voting Threshold Date, our stockholders will be able to act by written consent only if the action is first recommended or approved by the Board of Directors;</w:t>
      </w:r>
    </w:p>
    <w:p>
      <w:pPr>
        <w:spacing w:after="0" w:line="243"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vacancies on our Board of Directors will be able to be filled only by our Board of Directors and not by stockholders;</w:t>
      </w:r>
    </w:p>
    <w:p>
      <w:pPr>
        <w:spacing w:after="0" w:line="256" w:lineRule="exact"/>
        <w:rPr>
          <w:rFonts w:ascii="Times New Roman" w:cs="Times New Roman" w:eastAsia="Times New Roman" w:hAnsi="Times New Roman"/>
          <w:sz w:val="21"/>
          <w:szCs w:val="21"/>
          <w:color w:val="auto"/>
        </w:rPr>
      </w:pPr>
    </w:p>
    <w:p>
      <w:pPr>
        <w:ind w:left="640" w:right="40" w:hanging="322"/>
        <w:spacing w:after="0" w:line="254" w:lineRule="auto"/>
        <w:tabs>
          <w:tab w:leader="none" w:pos="63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231"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certain litigation against us may be required to be brought in Delaware;</w:t>
      </w:r>
    </w:p>
    <w:p>
      <w:pPr>
        <w:spacing w:after="0" w:line="256" w:lineRule="exact"/>
        <w:rPr>
          <w:rFonts w:ascii="Times New Roman" w:cs="Times New Roman" w:eastAsia="Times New Roman" w:hAnsi="Times New Roman"/>
          <w:sz w:val="21"/>
          <w:szCs w:val="21"/>
          <w:color w:val="auto"/>
        </w:rPr>
      </w:pPr>
    </w:p>
    <w:p>
      <w:pPr>
        <w:ind w:left="640" w:right="340" w:hanging="322"/>
        <w:spacing w:after="0" w:line="239" w:lineRule="auto"/>
        <w:tabs>
          <w:tab w:leader="none" w:pos="63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257" w:lineRule="exact"/>
        <w:rPr>
          <w:rFonts w:ascii="Times New Roman" w:cs="Times New Roman" w:eastAsia="Times New Roman" w:hAnsi="Times New Roman"/>
          <w:sz w:val="21"/>
          <w:szCs w:val="21"/>
          <w:color w:val="auto"/>
        </w:rPr>
      </w:pPr>
    </w:p>
    <w:p>
      <w:pPr>
        <w:ind w:left="640" w:right="500" w:hanging="322"/>
        <w:spacing w:after="0" w:line="239" w:lineRule="auto"/>
        <w:tabs>
          <w:tab w:leader="none" w:pos="63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advance notice procedures apply for stockholders to nominate candidates for election as directors or to bring matters before an annual meeting of stockholders.</w:t>
      </w:r>
    </w:p>
    <w:p>
      <w:pPr>
        <w:spacing w:after="0" w:line="218"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9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93"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Our amended and restated bylaws provide that, unless we expressly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in all cases subject to the court having jurisdiction over indispensable parties named as defendants.</w:t>
      </w:r>
    </w:p>
    <w:p>
      <w:pPr>
        <w:spacing w:after="0" w:line="197" w:lineRule="exact"/>
        <w:rPr>
          <w:sz w:val="20"/>
          <w:szCs w:val="20"/>
          <w:color w:val="auto"/>
        </w:rPr>
      </w:pPr>
    </w:p>
    <w:p>
      <w:pPr>
        <w:jc w:val="both"/>
        <w:ind w:right="280" w:firstLine="392"/>
        <w:spacing w:after="0" w:line="276" w:lineRule="auto"/>
        <w:rPr>
          <w:sz w:val="20"/>
          <w:szCs w:val="20"/>
          <w:color w:val="auto"/>
        </w:rPr>
      </w:pPr>
      <w:r>
        <w:rPr>
          <w:rFonts w:ascii="Times New Roman" w:cs="Times New Roman" w:eastAsia="Times New Roman" w:hAnsi="Times New Roman"/>
          <w:sz w:val="17"/>
          <w:szCs w:val="17"/>
          <w:color w:val="auto"/>
        </w:rPr>
        <w:t>Our amended and restated bylaws also provide that unless we consent in writing to the selection of an alternative forum the federal district courts of the United States of America will be the sole and exclusive forum for resolving any claim asserting a cause of action arising under the Securities Act against any person in connection with any offering of our securities, including any auditor, underwriter, expert, control person, or other defendant.</w:t>
      </w:r>
    </w:p>
    <w:p>
      <w:pPr>
        <w:spacing w:after="0" w:line="188" w:lineRule="exact"/>
        <w:rPr>
          <w:sz w:val="20"/>
          <w:szCs w:val="20"/>
          <w:color w:val="auto"/>
        </w:rPr>
      </w:pPr>
    </w:p>
    <w:p>
      <w:pPr>
        <w:ind w:right="400" w:firstLine="392"/>
        <w:spacing w:after="0" w:line="276"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8" w:lineRule="exact"/>
        <w:rPr>
          <w:sz w:val="20"/>
          <w:szCs w:val="20"/>
          <w:color w:val="auto"/>
        </w:rPr>
      </w:pPr>
    </w:p>
    <w:p>
      <w:pPr>
        <w:ind w:right="540" w:firstLine="392"/>
        <w:spacing w:after="0" w:line="295" w:lineRule="auto"/>
        <w:rPr>
          <w:sz w:val="20"/>
          <w:szCs w:val="20"/>
          <w:color w:val="auto"/>
        </w:rPr>
      </w:pPr>
      <w:r>
        <w:rPr>
          <w:rFonts w:ascii="Times New Roman" w:cs="Times New Roman" w:eastAsia="Times New Roman" w:hAnsi="Times New Roman"/>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cannot guarantee that our stock repurchase program will be fully implemented or that it will enhance long-term stockholder value.</w:t>
      </w:r>
    </w:p>
    <w:p>
      <w:pPr>
        <w:spacing w:after="0" w:line="253"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7"/>
          <w:szCs w:val="17"/>
          <w:color w:val="auto"/>
        </w:rPr>
        <w:t>We initially implemented a stock repurchase program in 2020. In February 2022, our Board of Directors authorized the repurchase of up to an additional $1.2 billion of the outstanding shares of our Class A common stock and in July 2023 our Board of Directors further authorized the repurchase of up to an additional $1.2 billion of the outstanding shares of our Class A common stock. The repurchase program does not have an expiration date and we are not obligated to repurchase a specified number or dollar value of shares. Share repurchases will be made from time-to-time in private transactions or open market purchases, as permitted by securities laws and other legal requirements. Although we have previously announced an intention to allocate a significant portion of our free cash flow to share repurchases, any share repurchases remain subject to the circumstances in place at that time, including prevailing market prices. As a result, the timing and the volume of our share repurchases may fluctuate. In addition, as part of the IRA, the United States implemented a 1% non-deductible excise tax on the value of certain stock repurchases by publicly traded companies. This tax will generally increase the costs to us of any share repurchases.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for the foreseeable future.</w:t>
      </w:r>
    </w:p>
    <w:p>
      <w:pPr>
        <w:spacing w:after="0" w:line="253" w:lineRule="exact"/>
        <w:rPr>
          <w:sz w:val="20"/>
          <w:szCs w:val="20"/>
          <w:color w:val="auto"/>
        </w:rPr>
      </w:pPr>
    </w:p>
    <w:p>
      <w:pPr>
        <w:ind w:right="200" w:firstLine="392"/>
        <w:spacing w:after="0" w:line="269" w:lineRule="auto"/>
        <w:rPr>
          <w:sz w:val="20"/>
          <w:szCs w:val="20"/>
          <w:color w:val="auto"/>
        </w:rPr>
      </w:pPr>
      <w:r>
        <w:rPr>
          <w:rFonts w:ascii="Times New Roman" w:cs="Times New Roman" w:eastAsia="Times New Roman" w:hAnsi="Times New Roman"/>
          <w:sz w:val="17"/>
          <w:szCs w:val="17"/>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19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disrupted by catastrophic events.</w:t>
      </w:r>
    </w:p>
    <w:p>
      <w:pPr>
        <w:spacing w:after="0" w:line="253"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spacing w:after="0" w:line="200" w:lineRule="exact"/>
        <w:rPr>
          <w:sz w:val="20"/>
          <w:szCs w:val="20"/>
          <w:color w:val="auto"/>
        </w:rPr>
      </w:pPr>
    </w:p>
    <w:p>
      <w:pPr>
        <w:ind w:right="40" w:firstLine="392"/>
        <w:spacing w:after="0" w:line="263" w:lineRule="auto"/>
        <w:rPr>
          <w:sz w:val="20"/>
          <w:szCs w:val="20"/>
          <w:color w:val="auto"/>
        </w:rPr>
      </w:pPr>
      <w:r>
        <w:rPr>
          <w:rFonts w:ascii="Times New Roman" w:cs="Times New Roman" w:eastAsia="Times New Roman" w:hAnsi="Times New Roman"/>
          <w:sz w:val="17"/>
          <w:szCs w:val="17"/>
          <w:color w:val="auto"/>
        </w:rPr>
        <w:t>Additionally, our U.S. headquarters is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have exposure to greater than anticipated tax liabilities, which could adversely impact our results of operations.</w:t>
      </w:r>
    </w:p>
    <w:p>
      <w:pPr>
        <w:spacing w:after="0" w:line="253" w:lineRule="exact"/>
        <w:rPr>
          <w:sz w:val="20"/>
          <w:szCs w:val="20"/>
          <w:color w:val="auto"/>
        </w:rPr>
      </w:pPr>
    </w:p>
    <w:p>
      <w:pPr>
        <w:ind w:right="180" w:firstLine="392"/>
        <w:spacing w:after="0" w:line="269" w:lineRule="auto"/>
        <w:rPr>
          <w:sz w:val="20"/>
          <w:szCs w:val="20"/>
          <w:color w:val="auto"/>
        </w:rPr>
      </w:pPr>
      <w:r>
        <w:rPr>
          <w:rFonts w:ascii="Times New Roman" w:cs="Times New Roman" w:eastAsia="Times New Roman" w:hAnsi="Times New Roman"/>
          <w:sz w:val="17"/>
          <w:szCs w:val="17"/>
          <w:color w:val="auto"/>
        </w:rPr>
        <w:t>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95" w:lineRule="exact"/>
        <w:rPr>
          <w:sz w:val="20"/>
          <w:szCs w:val="20"/>
          <w:color w:val="auto"/>
        </w:rPr>
      </w:pPr>
    </w:p>
    <w:p>
      <w:pPr>
        <w:jc w:val="both"/>
        <w:ind w:right="180" w:firstLine="392"/>
        <w:spacing w:after="0" w:line="276" w:lineRule="auto"/>
        <w:rPr>
          <w:sz w:val="20"/>
          <w:szCs w:val="20"/>
          <w:color w:val="auto"/>
        </w:rPr>
      </w:pPr>
      <w:r>
        <w:rPr>
          <w:rFonts w:ascii="Times New Roman" w:cs="Times New Roman" w:eastAsia="Times New Roman" w:hAnsi="Times New Roman"/>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changes in non-income-based taxes resulting from changes in U.S. federal, state, or international tax laws,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spacing w:after="0" w:line="184"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69"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5" w:lineRule="exact"/>
        <w:rPr>
          <w:sz w:val="20"/>
          <w:szCs w:val="20"/>
          <w:color w:val="auto"/>
        </w:rPr>
      </w:pPr>
    </w:p>
    <w:p>
      <w:pPr>
        <w:ind w:right="20" w:firstLine="392"/>
        <w:spacing w:after="0" w:line="259"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211"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Furthermore, the loss of expertise and institutional knowledge of employees, including as a result of our 2024 reduction in workforce, may negatively impact our ability to maintain adequate controls and procedures.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reported results of operations may be adversely affected by changes in accounting principles generally accepted in the United States.</w:t>
      </w:r>
    </w:p>
    <w:p>
      <w:pPr>
        <w:spacing w:after="0" w:line="253" w:lineRule="exact"/>
        <w:rPr>
          <w:sz w:val="20"/>
          <w:szCs w:val="20"/>
          <w:color w:val="auto"/>
        </w:rPr>
      </w:pPr>
    </w:p>
    <w:p>
      <w:pPr>
        <w:ind w:right="100" w:firstLine="392"/>
        <w:spacing w:after="0" w:line="268" w:lineRule="auto"/>
        <w:rPr>
          <w:sz w:val="20"/>
          <w:szCs w:val="20"/>
          <w:color w:val="auto"/>
        </w:rPr>
      </w:pPr>
      <w:r>
        <w:rPr>
          <w:rFonts w:ascii="Times New Roman" w:cs="Times New Roman" w:eastAsia="Times New Roman" w:hAnsi="Times New Roman"/>
          <w:sz w:val="17"/>
          <w:szCs w:val="17"/>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additional capital, and we cannot be certain that additional financing will be available on favorable terms, or at all.</w:t>
      </w:r>
    </w:p>
    <w:p>
      <w:pPr>
        <w:spacing w:after="0" w:line="253"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time-to-time,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increased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9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69"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7"/>
          <w:szCs w:val="17"/>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maintain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2. UNREGISTERED SALES OF EQUITY SECURITIES AND USE OF PROCEEDS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51" w:lineRule="exact"/>
        <w:rPr>
          <w:sz w:val="20"/>
          <w:szCs w:val="20"/>
          <w:color w:val="auto"/>
        </w:rPr>
      </w:pPr>
    </w:p>
    <w:p>
      <w:pPr>
        <w:ind w:right="2680" w:firstLine="392"/>
        <w:spacing w:after="0" w:line="283" w:lineRule="auto"/>
        <w:rPr>
          <w:sz w:val="20"/>
          <w:szCs w:val="20"/>
          <w:color w:val="auto"/>
        </w:rPr>
      </w:pPr>
      <w:r>
        <w:rPr>
          <w:rFonts w:ascii="Times New Roman" w:cs="Times New Roman" w:eastAsia="Times New Roman" w:hAnsi="Times New Roman"/>
          <w:sz w:val="17"/>
          <w:szCs w:val="17"/>
          <w:color w:val="auto"/>
        </w:rPr>
        <w:t>The following table presents information with respect to Dropbox's repurchases of Class A common stock during the quarter ended September 30, 2024.</w:t>
      </w:r>
    </w:p>
    <w:tbl>
      <w:tblPr>
        <w:tblLayout w:type="fixed"/>
        <w:tblInd w:w="60" w:type="dxa"/>
        <w:tblCellMar>
          <w:top w:w="0" w:type="dxa"/>
          <w:left w:w="0" w:type="dxa"/>
          <w:bottom w:w="0" w:type="dxa"/>
          <w:right w:w="0" w:type="dxa"/>
        </w:tblCellMar>
      </w:tblPr>
      <w:tr>
        <w:trPr>
          <w:trHeight w:val="159"/>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8" w:lineRule="exact"/>
              <w:rPr>
                <w:sz w:val="20"/>
                <w:szCs w:val="20"/>
                <w:color w:val="auto"/>
              </w:rPr>
            </w:pPr>
            <w:r>
              <w:rPr>
                <w:rFonts w:ascii="Times New Roman" w:cs="Times New Roman" w:eastAsia="Times New Roman" w:hAnsi="Times New Roman"/>
                <w:sz w:val="16"/>
                <w:szCs w:val="16"/>
                <w:color w:val="auto"/>
                <w:w w:val="97"/>
              </w:rPr>
              <w:t>Approximate Dollar Value of</w:t>
            </w: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6"/>
                <w:szCs w:val="16"/>
                <w:color w:val="auto"/>
                <w:w w:val="96"/>
              </w:rPr>
              <w:t>Shares that May Yet Be</w:t>
            </w: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vMerge w:val="restart"/>
          </w:tcPr>
          <w:p>
            <w:pPr>
              <w:jc w:val="right"/>
              <w:ind w:right="236"/>
              <w:spacing w:after="0"/>
              <w:rPr>
                <w:sz w:val="20"/>
                <w:szCs w:val="20"/>
                <w:color w:val="auto"/>
              </w:rPr>
            </w:pPr>
            <w:r>
              <w:rPr>
                <w:rFonts w:ascii="Times New Roman" w:cs="Times New Roman" w:eastAsia="Times New Roman" w:hAnsi="Times New Roman"/>
                <w:sz w:val="16"/>
                <w:szCs w:val="16"/>
                <w:color w:val="auto"/>
              </w:rPr>
              <w:t>Total Number of Shares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8"/>
              </w:rPr>
              <w:t>Purchased as Part of Publicly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6"/>
                <w:szCs w:val="16"/>
                <w:color w:val="auto"/>
                <w:w w:val="98"/>
              </w:rPr>
              <w:t>Purchased Under Publicly</w:t>
            </w:r>
          </w:p>
        </w:tc>
        <w:tc>
          <w:tcPr>
            <w:tcW w:w="0" w:type="dxa"/>
            <w:vAlign w:val="bottom"/>
          </w:tcPr>
          <w:p>
            <w:pPr>
              <w:spacing w:after="0"/>
              <w:rPr>
                <w:sz w:val="1"/>
                <w:szCs w:val="1"/>
                <w:color w:val="auto"/>
              </w:rPr>
            </w:pPr>
          </w:p>
        </w:tc>
      </w:tr>
      <w:tr>
        <w:trPr>
          <w:trHeight w:val="157"/>
        </w:trPr>
        <w:tc>
          <w:tcPr>
            <w:tcW w:w="22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Period</w:t>
            </w:r>
          </w:p>
        </w:tc>
        <w:tc>
          <w:tcPr>
            <w:tcW w:w="2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Average Price Paid per Share</w:t>
            </w:r>
            <w:r>
              <w:rPr>
                <w:rFonts w:ascii="Times New Roman" w:cs="Times New Roman" w:eastAsia="Times New Roman" w:hAnsi="Times New Roman"/>
                <w:sz w:val="20"/>
                <w:szCs w:val="20"/>
                <w:color w:val="auto"/>
                <w:vertAlign w:val="superscript"/>
              </w:rPr>
              <w:t>(2)</w:t>
            </w:r>
          </w:p>
        </w:tc>
        <w:tc>
          <w:tcPr>
            <w:tcW w:w="2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7"/>
              </w:rPr>
              <w:t>Announced Programs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6"/>
                <w:szCs w:val="16"/>
                <w:color w:val="auto"/>
                <w:w w:val="97"/>
              </w:rPr>
              <w:t>Announced Programs</w:t>
            </w:r>
          </w:p>
        </w:tc>
        <w:tc>
          <w:tcPr>
            <w:tcW w:w="0" w:type="dxa"/>
            <w:vAlign w:val="bottom"/>
          </w:tcPr>
          <w:p>
            <w:pPr>
              <w:spacing w:after="0"/>
              <w:rPr>
                <w:sz w:val="1"/>
                <w:szCs w:val="1"/>
                <w:color w:val="auto"/>
              </w:rPr>
            </w:pPr>
          </w:p>
        </w:tc>
      </w:tr>
      <w:tr>
        <w:trPr>
          <w:trHeight w:val="209"/>
        </w:trPr>
        <w:tc>
          <w:tcPr>
            <w:tcW w:w="2240" w:type="dxa"/>
            <w:vAlign w:val="bottom"/>
            <w:gridSpan w:val="2"/>
            <w:vMerge w:val="continue"/>
          </w:tcPr>
          <w:p>
            <w:pPr>
              <w:spacing w:after="0"/>
              <w:rPr>
                <w:sz w:val="18"/>
                <w:szCs w:val="18"/>
                <w:color w:val="auto"/>
              </w:rPr>
            </w:pPr>
          </w:p>
        </w:tc>
        <w:tc>
          <w:tcPr>
            <w:tcW w:w="2140" w:type="dxa"/>
            <w:vAlign w:val="bottom"/>
          </w:tcPr>
          <w:p>
            <w:pPr>
              <w:jc w:val="right"/>
              <w:ind w:right="196"/>
              <w:spacing w:after="0" w:line="209" w:lineRule="exact"/>
              <w:rPr>
                <w:sz w:val="20"/>
                <w:szCs w:val="20"/>
                <w:color w:val="auto"/>
              </w:rPr>
            </w:pPr>
            <w:r>
              <w:rPr>
                <w:rFonts w:ascii="Times New Roman" w:cs="Times New Roman" w:eastAsia="Times New Roman" w:hAnsi="Times New Roman"/>
                <w:sz w:val="16"/>
                <w:szCs w:val="16"/>
                <w:color w:val="auto"/>
              </w:rPr>
              <w:t>Purchased (in millions)</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2220" w:type="dxa"/>
            <w:vAlign w:val="bottom"/>
            <w:gridSpan w:val="3"/>
            <w:vMerge w:val="continue"/>
          </w:tcPr>
          <w:p>
            <w:pPr>
              <w:spacing w:after="0"/>
              <w:rPr>
                <w:sz w:val="18"/>
                <w:szCs w:val="18"/>
                <w:color w:val="auto"/>
              </w:rPr>
            </w:pPr>
          </w:p>
        </w:tc>
        <w:tc>
          <w:tcPr>
            <w:tcW w:w="2160" w:type="dxa"/>
            <w:vAlign w:val="bottom"/>
          </w:tcPr>
          <w:p>
            <w:pPr>
              <w:jc w:val="center"/>
              <w:spacing w:after="0" w:line="209" w:lineRule="exact"/>
              <w:rPr>
                <w:sz w:val="20"/>
                <w:szCs w:val="20"/>
                <w:color w:val="auto"/>
              </w:rPr>
            </w:pPr>
            <w:r>
              <w:rPr>
                <w:rFonts w:ascii="Times New Roman" w:cs="Times New Roman" w:eastAsia="Times New Roman" w:hAnsi="Times New Roman"/>
                <w:sz w:val="16"/>
                <w:szCs w:val="16"/>
                <w:color w:val="auto"/>
                <w:w w:val="94"/>
              </w:rPr>
              <w:t>(in millions)</w:t>
            </w:r>
            <w:r>
              <w:rPr>
                <w:rFonts w:ascii="Times New Roman" w:cs="Times New Roman" w:eastAsia="Times New Roman" w:hAnsi="Times New Roman"/>
                <w:sz w:val="20"/>
                <w:szCs w:val="20"/>
                <w:color w:val="auto"/>
                <w:w w:val="94"/>
                <w:vertAlign w:val="superscript"/>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58"/>
              <w:spacing w:after="0" w:line="209" w:lineRule="exact"/>
              <w:rPr>
                <w:sz w:val="20"/>
                <w:szCs w:val="20"/>
                <w:color w:val="auto"/>
              </w:rPr>
            </w:pPr>
            <w:r>
              <w:rPr>
                <w:rFonts w:ascii="Times New Roman" w:cs="Times New Roman" w:eastAsia="Times New Roman" w:hAnsi="Times New Roman"/>
                <w:sz w:val="16"/>
                <w:szCs w:val="16"/>
                <w:color w:val="auto"/>
                <w:w w:val="92"/>
              </w:rPr>
              <w:t>(in millions)</w:t>
            </w:r>
            <w:r>
              <w:rPr>
                <w:rFonts w:ascii="Times New Roman" w:cs="Times New Roman" w:eastAsia="Times New Roman" w:hAnsi="Times New Roman"/>
                <w:sz w:val="20"/>
                <w:szCs w:val="20"/>
                <w:color w:val="auto"/>
                <w:w w:val="92"/>
                <w:vertAlign w:val="superscript"/>
              </w:rPr>
              <w:t>(1)</w:t>
            </w:r>
          </w:p>
        </w:tc>
        <w:tc>
          <w:tcPr>
            <w:tcW w:w="0" w:type="dxa"/>
            <w:vAlign w:val="bottom"/>
          </w:tcPr>
          <w:p>
            <w:pPr>
              <w:spacing w:after="0"/>
              <w:rPr>
                <w:sz w:val="1"/>
                <w:szCs w:val="1"/>
                <w:color w:val="auto"/>
              </w:rPr>
            </w:pPr>
          </w:p>
        </w:tc>
      </w:tr>
      <w:tr>
        <w:trPr>
          <w:trHeight w:val="215"/>
        </w:trPr>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July 1 - 31</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22.74</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832.91</w:t>
            </w:r>
          </w:p>
        </w:tc>
        <w:tc>
          <w:tcPr>
            <w:tcW w:w="0" w:type="dxa"/>
            <w:vAlign w:val="bottom"/>
          </w:tcPr>
          <w:p>
            <w:pPr>
              <w:spacing w:after="0"/>
              <w:rPr>
                <w:sz w:val="1"/>
                <w:szCs w:val="1"/>
                <w:color w:val="auto"/>
              </w:rPr>
            </w:pPr>
          </w:p>
        </w:tc>
      </w:tr>
      <w:tr>
        <w:trPr>
          <w:trHeight w:val="222"/>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August 1 - 31</w:t>
            </w:r>
          </w:p>
        </w:tc>
        <w:tc>
          <w:tcPr>
            <w:tcW w:w="2140" w:type="dxa"/>
            <w:vAlign w:val="bottom"/>
          </w:tcPr>
          <w:p>
            <w:pPr>
              <w:jc w:val="right"/>
              <w:spacing w:after="0" w:line="222" w:lineRule="exact"/>
              <w:rPr>
                <w:sz w:val="20"/>
                <w:szCs w:val="20"/>
                <w:color w:val="auto"/>
              </w:rPr>
            </w:pPr>
            <w:r>
              <w:rPr>
                <w:rFonts w:ascii="Times New Roman" w:cs="Times New Roman" w:eastAsia="Times New Roman" w:hAnsi="Times New Roman"/>
                <w:sz w:val="17"/>
                <w:szCs w:val="17"/>
                <w:color w:val="auto"/>
              </w:rPr>
              <w:t>6.65</w:t>
            </w:r>
            <w:r>
              <w:rPr>
                <w:rFonts w:ascii="Times New Roman" w:cs="Times New Roman" w:eastAsia="Times New Roman" w:hAnsi="Times New Roman"/>
                <w:sz w:val="22"/>
                <w:szCs w:val="22"/>
                <w:color w:val="auto"/>
                <w:vertAlign w:val="superscript"/>
              </w:rPr>
              <w:t>(3)</w:t>
            </w:r>
          </w:p>
        </w:tc>
        <w:tc>
          <w:tcPr>
            <w:tcW w:w="1000" w:type="dxa"/>
            <w:vAlign w:val="bottom"/>
            <w:gridSpan w:val="2"/>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676.91</w:t>
            </w:r>
          </w:p>
        </w:tc>
        <w:tc>
          <w:tcPr>
            <w:tcW w:w="0" w:type="dxa"/>
            <w:vAlign w:val="bottom"/>
          </w:tcPr>
          <w:p>
            <w:pPr>
              <w:spacing w:after="0"/>
              <w:rPr>
                <w:sz w:val="1"/>
                <w:szCs w:val="1"/>
                <w:color w:val="auto"/>
              </w:rPr>
            </w:pPr>
          </w:p>
        </w:tc>
      </w:tr>
      <w:tr>
        <w:trPr>
          <w:trHeight w:val="222"/>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September 1 - 30</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000" w:type="dxa"/>
            <w:vAlign w:val="bottom"/>
            <w:gridSpan w:val="2"/>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24.41</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519.53</w:t>
            </w:r>
          </w:p>
        </w:tc>
        <w:tc>
          <w:tcPr>
            <w:tcW w:w="0" w:type="dxa"/>
            <w:vAlign w:val="bottom"/>
          </w:tcPr>
          <w:p>
            <w:pPr>
              <w:spacing w:after="0"/>
              <w:rPr>
                <w:sz w:val="1"/>
                <w:szCs w:val="1"/>
                <w:color w:val="auto"/>
              </w:rPr>
            </w:pPr>
          </w:p>
        </w:tc>
      </w:tr>
      <w:tr>
        <w:trPr>
          <w:trHeight w:val="215"/>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1000" w:type="dxa"/>
            <w:vAlign w:val="bottom"/>
            <w:gridSpan w:val="2"/>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firstLine="5"/>
        <w:spacing w:after="0" w:line="351" w:lineRule="auto"/>
        <w:tabs>
          <w:tab w:leader="none" w:pos="160"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On February 17, 2022, we announced that our Board of Directors authorized the repurchase of $1.2 billion of the outstanding shares of our Class A common stock. On July 26, 2023, we announced that our Board of Directors further authorized the repurchase of an additional $1.2 billion of the outstanding shares of our Class A common stock. We completed the February 2022 authorization of $1.2 billion during the three months ended March 31, 2024 and continued stock repurchases under the July 2023 authorization.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to our condensed consolidated financial statements included elsewhere in this Quarterly Report on Form 10-Q for additional information related to share repurchases.</w:t>
      </w:r>
    </w:p>
    <w:p>
      <w:pPr>
        <w:spacing w:after="0" w:line="156" w:lineRule="exact"/>
        <w:rPr>
          <w:rFonts w:ascii="Times New Roman" w:cs="Times New Roman" w:eastAsia="Times New Roman" w:hAnsi="Times New Roman"/>
          <w:sz w:val="18"/>
          <w:szCs w:val="18"/>
          <w:color w:val="auto"/>
          <w:vertAlign w:val="superscript"/>
        </w:rPr>
      </w:pPr>
    </w:p>
    <w:p>
      <w:pPr>
        <w:ind w:left="160" w:hanging="155"/>
        <w:spacing w:after="0"/>
        <w:tabs>
          <w:tab w:leader="none" w:pos="160"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Average price paid per share includes costs associated with the repurchases, excluding the 1% excise tax imposed as part of the Inflation Reduction Act.</w:t>
      </w:r>
    </w:p>
    <w:p>
      <w:pPr>
        <w:spacing w:after="0" w:line="211" w:lineRule="exact"/>
        <w:rPr>
          <w:rFonts w:ascii="Times New Roman" w:cs="Times New Roman" w:eastAsia="Times New Roman" w:hAnsi="Times New Roman"/>
          <w:sz w:val="18"/>
          <w:szCs w:val="18"/>
          <w:color w:val="auto"/>
          <w:vertAlign w:val="superscript"/>
        </w:rPr>
      </w:pPr>
    </w:p>
    <w:p>
      <w:pPr>
        <w:ind w:left="160" w:hanging="155"/>
        <w:spacing w:after="0"/>
        <w:tabs>
          <w:tab w:leader="none" w:pos="160"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Includes 40,658 shares of restricted common stock withheld by the Company upon vesting of restricted stock awards to satisfy tax withholding requirements.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5. OTHER INFORMATION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Trading Plans of Directors and Executive Officers</w:t>
      </w:r>
    </w:p>
    <w:p>
      <w:pPr>
        <w:spacing w:after="0" w:line="251"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During our last fiscal quarter, a member of our board of directors, adopted a “Rule 10b5-1 trading arrangement” as defined in Regulation S-K Item 408, as follows:</w:t>
      </w:r>
    </w:p>
    <w:p>
      <w:pPr>
        <w:spacing w:after="0" w:line="173" w:lineRule="exact"/>
        <w:rPr>
          <w:sz w:val="20"/>
          <w:szCs w:val="20"/>
          <w:color w:val="auto"/>
        </w:rPr>
      </w:pPr>
    </w:p>
    <w:p>
      <w:pPr>
        <w:jc w:val="both"/>
        <w:ind w:right="140" w:firstLine="392"/>
        <w:spacing w:after="0" w:line="276" w:lineRule="auto"/>
        <w:rPr>
          <w:sz w:val="20"/>
          <w:szCs w:val="20"/>
          <w:color w:val="auto"/>
        </w:rPr>
      </w:pPr>
      <w:r>
        <w:rPr>
          <w:rFonts w:ascii="Times New Roman" w:cs="Times New Roman" w:eastAsia="Times New Roman" w:hAnsi="Times New Roman"/>
          <w:sz w:val="17"/>
          <w:szCs w:val="17"/>
          <w:color w:val="auto"/>
        </w:rPr>
        <w:t>On August 22, 2024, Lisa Campbell, a member of our board of directors, adopted a Rule 10b5-1 trading arrangement providing for the sale from time-to-time of an aggregate of up to 11,388 shares of our Class A common stock. The trading arrangement is intended to satisfy the affirmative defense in Rule 10b5-1(c). The duration of the trading arrangement is until May 30, 2025, or earlier if all transactions under the trading arrangement are completed.</w:t>
      </w:r>
    </w:p>
    <w:p>
      <w:pPr>
        <w:spacing w:after="0" w:line="188" w:lineRule="exact"/>
        <w:rPr>
          <w:sz w:val="20"/>
          <w:szCs w:val="20"/>
          <w:color w:val="auto"/>
        </w:rPr>
      </w:pPr>
    </w:p>
    <w:p>
      <w:pPr>
        <w:jc w:val="both"/>
        <w:ind w:right="120" w:firstLine="392"/>
        <w:spacing w:after="0" w:line="295" w:lineRule="auto"/>
        <w:rPr>
          <w:sz w:val="20"/>
          <w:szCs w:val="20"/>
          <w:color w:val="auto"/>
        </w:rPr>
      </w:pPr>
      <w:r>
        <w:rPr>
          <w:rFonts w:ascii="Times New Roman" w:cs="Times New Roman" w:eastAsia="Times New Roman" w:hAnsi="Times New Roman"/>
          <w:sz w:val="17"/>
          <w:szCs w:val="17"/>
          <w:color w:val="auto"/>
        </w:rPr>
        <w:t>No other directors or officers, as defined in Rule 16a-1(f), adopted and/or terminated a “Rule 10b5-1 trading arrangement” or a “non-Rule 10b5-1 trading arrangement,” as defined in Regulation S-K Item 408, during the last fiscal quarter.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6. EXHIBITS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have filed the exhibits listed on the accompanying Exhibit Index, which is incorporated herein by reference.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Incorporated by</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700" w:type="dxa"/>
            <w:vAlign w:val="bottom"/>
            <w:gridSpan w:val="6"/>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Reference from</w:t>
            </w: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8"/>
              </w:rPr>
              <w:t>Filed with SEC</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6"/>
                <w:szCs w:val="16"/>
                <w:color w:val="auto"/>
              </w:rPr>
            </w:pPr>
          </w:p>
        </w:tc>
        <w:tc>
          <w:tcPr>
            <w:tcW w:w="4700" w:type="dxa"/>
            <w:vAlign w:val="bottom"/>
            <w:gridSpan w:val="6"/>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0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Exchange Act Rules 13a-14(a)</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4820" w:type="dxa"/>
            <w:vAlign w:val="bottom"/>
            <w:tcBorders>
              <w:top w:val="single" w:sz="8" w:color="0000FF"/>
              <w:bottom w:val="single" w:sz="8" w:color="0000FF"/>
            </w:tcBorders>
            <w:gridSpan w:val="3"/>
          </w:tcPr>
          <w:p>
            <w:pPr>
              <w:spacing w:after="0" w:line="111" w:lineRule="exact"/>
              <w:rPr>
                <w:sz w:val="20"/>
                <w:szCs w:val="20"/>
                <w:color w:val="auto"/>
              </w:rPr>
            </w:pPr>
            <w:r>
              <w:rPr>
                <w:rFonts w:ascii="Times New Roman" w:cs="Times New Roman" w:eastAsia="Times New Roman" w:hAnsi="Times New Roman"/>
                <w:sz w:val="12"/>
                <w:szCs w:val="12"/>
                <w:color w:val="0000FF"/>
              </w:rPr>
              <w:t>and 15d-14(a), as adopted pursuant to Section 302 of the Sarbanes-Oxley Act of 2002.</w:t>
            </w:r>
          </w:p>
        </w:tc>
        <w:tc>
          <w:tcPr>
            <w:tcW w:w="2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8"/>
              </w:rPr>
              <w:t>Certification of Principal Financial Officer pursuant to Exchange Act Rules 13a-14(a) and</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4580" w:type="dxa"/>
            <w:vAlign w:val="bottom"/>
            <w:tcBorders>
              <w:bottom w:val="single" w:sz="8" w:color="0000FF"/>
            </w:tcBorders>
            <w:gridSpan w:val="2"/>
          </w:tcPr>
          <w:p>
            <w:pPr>
              <w:spacing w:after="0" w:line="111" w:lineRule="exact"/>
              <w:rPr>
                <w:sz w:val="20"/>
                <w:szCs w:val="20"/>
                <w:color w:val="auto"/>
              </w:rPr>
            </w:pPr>
            <w:r>
              <w:rPr>
                <w:rFonts w:ascii="Times New Roman" w:cs="Times New Roman" w:eastAsia="Times New Roman" w:hAnsi="Times New Roman"/>
                <w:sz w:val="12"/>
                <w:szCs w:val="12"/>
                <w:color w:val="0000FF"/>
              </w:rPr>
              <w:t>15d-14(a), as adopted pursuant to Section 302 of the Sarbanes-Oxley Act of 2002.</w:t>
            </w:r>
          </w:p>
        </w:tc>
        <w:tc>
          <w:tcPr>
            <w:tcW w:w="440" w:type="dxa"/>
            <w:vAlign w:val="bottom"/>
            <w:gridSpan w:val="5"/>
          </w:tcPr>
          <w:p>
            <w:pPr>
              <w:spacing w:after="0"/>
              <w:rPr>
                <w:sz w:val="9"/>
                <w:szCs w:val="9"/>
                <w:color w:val="auto"/>
              </w:rPr>
            </w:pPr>
          </w:p>
        </w:tc>
        <w:tc>
          <w:tcPr>
            <w:tcW w:w="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4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Certifications of Principal Executive Officer and Principal Financial Officer pursuant to</w:t>
            </w:r>
          </w:p>
        </w:tc>
        <w:tc>
          <w:tcPr>
            <w:tcW w:w="12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5020" w:type="dxa"/>
            <w:vAlign w:val="bottom"/>
            <w:gridSpan w:val="7"/>
          </w:tcPr>
          <w:p>
            <w:pPr>
              <w:spacing w:after="0" w:line="111" w:lineRule="exact"/>
              <w:rPr>
                <w:sz w:val="20"/>
                <w:szCs w:val="20"/>
                <w:color w:val="auto"/>
              </w:rPr>
            </w:pPr>
            <w:r>
              <w:rPr>
                <w:rFonts w:ascii="Times New Roman" w:cs="Times New Roman" w:eastAsia="Times New Roman" w:hAnsi="Times New Roman"/>
                <w:sz w:val="12"/>
                <w:szCs w:val="12"/>
                <w:color w:val="0000FF"/>
              </w:rPr>
              <w:t>18 U.S.C. Section 1350 as adopted pursuant to Section 906 of the Sarbanes-Oxley Act of</w:t>
            </w:r>
          </w:p>
        </w:tc>
        <w:tc>
          <w:tcPr>
            <w:tcW w:w="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06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24" w:lineRule="exact"/>
              <w:rPr>
                <w:sz w:val="20"/>
                <w:szCs w:val="20"/>
                <w:color w:val="auto"/>
              </w:rPr>
            </w:pPr>
            <w:r>
              <w:rPr>
                <w:rFonts w:ascii="Times New Roman" w:cs="Times New Roman" w:eastAsia="Times New Roman" w:hAnsi="Times New Roman"/>
                <w:sz w:val="14"/>
                <w:szCs w:val="14"/>
                <w:color w:val="0000FF"/>
                <w:w w:val="95"/>
              </w:rPr>
              <w:t>2002.</w:t>
            </w:r>
          </w:p>
        </w:tc>
        <w:tc>
          <w:tcPr>
            <w:tcW w:w="426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080" w:right="5060" w:hanging="1058"/>
        <w:spacing w:after="0" w:line="242" w:lineRule="auto"/>
        <w:tabs>
          <w:tab w:leader="none" w:pos="1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statements from the Company's Quarterly Report on Form 10-Q for the quarter ended September 30, 2024,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and (vi) Notes to Unaudited Condensed Consolidated Financial Statements.</w:t>
      </w:r>
    </w:p>
    <w:p>
      <w:pPr>
        <w:spacing w:after="0" w:line="288" w:lineRule="exact"/>
        <w:rPr>
          <w:sz w:val="20"/>
          <w:szCs w:val="20"/>
          <w:color w:val="auto"/>
        </w:rPr>
      </w:pPr>
    </w:p>
    <w:p>
      <w:pPr>
        <w:ind w:left="1080" w:right="5240" w:hanging="1058"/>
        <w:spacing w:after="0" w:line="233" w:lineRule="auto"/>
        <w:tabs>
          <w:tab w:leader="none" w:pos="108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0" w:lineRule="exact"/>
        <w:rPr>
          <w:rFonts w:ascii="Times New Roman" w:cs="Times New Roman" w:eastAsia="Times New Roman" w:hAnsi="Times New Roman"/>
          <w:sz w:val="14"/>
          <w:szCs w:val="14"/>
          <w:color w:val="auto"/>
        </w:rPr>
      </w:pPr>
    </w:p>
    <w:p>
      <w:pPr>
        <w:spacing w:after="0" w:line="349" w:lineRule="exact"/>
        <w:rPr>
          <w:rFonts w:ascii="Times New Roman" w:cs="Times New Roman" w:eastAsia="Times New Roman" w:hAnsi="Times New Roman"/>
          <w:sz w:val="14"/>
          <w:szCs w:val="14"/>
          <w:color w:val="auto"/>
        </w:rPr>
      </w:pPr>
    </w:p>
    <w:p>
      <w:pPr>
        <w:ind w:firstLine="5"/>
        <w:spacing w:after="0" w:line="269" w:lineRule="auto"/>
        <w:tabs>
          <w:tab w:leader="none" w:pos="10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20" w:top="119"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920" w:type="dxa"/>
            <w:vAlign w:val="bottom"/>
            <w:gridSpan w:val="3"/>
          </w:tcPr>
          <w:p>
            <w:pPr>
              <w:ind w:left="320"/>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40" w:type="dxa"/>
            <w:vAlign w:val="bottom"/>
          </w:tcPr>
          <w:p>
            <w:pPr>
              <w:spacing w:after="0"/>
              <w:rPr>
                <w:sz w:val="19"/>
                <w:szCs w:val="19"/>
                <w:color w:val="auto"/>
              </w:rPr>
            </w:pPr>
          </w:p>
        </w:tc>
      </w:tr>
      <w:tr>
        <w:trPr>
          <w:trHeight w:val="484"/>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November 8, 2024</w:t>
            </w:r>
          </w:p>
        </w:tc>
        <w:tc>
          <w:tcPr>
            <w:tcW w:w="1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By:</w:t>
            </w:r>
          </w:p>
        </w:tc>
        <w:tc>
          <w:tcPr>
            <w:tcW w:w="7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Andrew W. Houston</w:t>
            </w:r>
          </w:p>
        </w:tc>
        <w:tc>
          <w:tcPr>
            <w:tcW w:w="40" w:type="dxa"/>
            <w:vAlign w:val="bottom"/>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Andrew W. Houston</w:t>
            </w:r>
          </w:p>
        </w:tc>
        <w:tc>
          <w:tcPr>
            <w:tcW w:w="40" w:type="dxa"/>
            <w:vAlign w:val="bottom"/>
          </w:tcPr>
          <w:p>
            <w:pPr>
              <w:spacing w:after="0"/>
              <w:rPr>
                <w:sz w:val="18"/>
                <w:szCs w:val="18"/>
                <w:color w:val="auto"/>
              </w:rPr>
            </w:pPr>
          </w:p>
        </w:tc>
      </w:tr>
      <w:tr>
        <w:trPr>
          <w:trHeight w:val="220"/>
        </w:trPr>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4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40" w:type="dxa"/>
            <w:vAlign w:val="bottom"/>
          </w:tcPr>
          <w:p>
            <w:pPr>
              <w:spacing w:after="0"/>
              <w:rPr>
                <w:sz w:val="19"/>
                <w:szCs w:val="19"/>
                <w:color w:val="auto"/>
              </w:rPr>
            </w:pPr>
          </w:p>
        </w:tc>
      </w:tr>
      <w:tr>
        <w:trPr>
          <w:trHeight w:val="693"/>
        </w:trPr>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November 8, 2024</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By:</w:t>
            </w:r>
          </w:p>
        </w:tc>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Timothy J. Regan</w:t>
            </w:r>
          </w:p>
        </w:tc>
        <w:tc>
          <w:tcPr>
            <w:tcW w:w="40" w:type="dxa"/>
            <w:vAlign w:val="bottom"/>
            <w:tcBorders>
              <w:bottom w:val="single" w:sz="8" w:color="auto"/>
            </w:tcBorders>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Timothy J. Regan</w:t>
            </w:r>
          </w:p>
        </w:tc>
        <w:tc>
          <w:tcPr>
            <w:tcW w:w="40" w:type="dxa"/>
            <w:vAlign w:val="bottom"/>
          </w:tcPr>
          <w:p>
            <w:pPr>
              <w:spacing w:after="0"/>
              <w:rPr>
                <w:sz w:val="18"/>
                <w:szCs w:val="18"/>
                <w:color w:val="auto"/>
              </w:rPr>
            </w:pPr>
          </w:p>
        </w:tc>
      </w:tr>
      <w:tr>
        <w:trPr>
          <w:trHeight w:val="220"/>
        </w:trPr>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4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Accounting and Financial Officer)</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1240"/>
          </w:cols>
          <w:pgMar w:left="320" w:top="119"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Andrew W. Houston, certify that:</w:t>
      </w:r>
    </w:p>
    <w:p>
      <w:pPr>
        <w:spacing w:after="0" w:line="223" w:lineRule="exact"/>
        <w:rPr>
          <w:sz w:val="20"/>
          <w:szCs w:val="20"/>
          <w:color w:val="auto"/>
        </w:rPr>
      </w:pPr>
    </w:p>
    <w:p>
      <w:pPr>
        <w:ind w:left="320" w:hanging="315"/>
        <w:spacing w:after="0"/>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Dropbox, Inc.;</w:t>
      </w:r>
    </w:p>
    <w:p>
      <w:pPr>
        <w:spacing w:after="0" w:line="222"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left="320" w:right="80" w:hanging="315"/>
        <w:spacing w:after="0" w:line="295"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Times New Roman" w:cs="Times New Roman" w:eastAsia="Times New Roman" w:hAnsi="Times New Roman"/>
          <w:sz w:val="17"/>
          <w:szCs w:val="17"/>
          <w:color w:val="auto"/>
        </w:rPr>
      </w:pPr>
    </w:p>
    <w:p>
      <w:pPr>
        <w:ind w:left="640" w:right="240" w:hanging="322"/>
        <w:spacing w:after="0" w:line="276" w:lineRule="auto"/>
        <w:tabs>
          <w:tab w:leader="none" w:pos="63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640" w:right="100" w:hanging="322"/>
        <w:spacing w:after="0" w:line="295" w:lineRule="auto"/>
        <w:tabs>
          <w:tab w:leader="none" w:pos="63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640" w:right="140" w:hanging="322"/>
        <w:spacing w:after="0" w:line="276" w:lineRule="auto"/>
        <w:tabs>
          <w:tab w:leader="none" w:pos="63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7"/>
          <w:szCs w:val="17"/>
          <w:color w:val="auto"/>
        </w:rPr>
      </w:pPr>
    </w:p>
    <w:p>
      <w:pPr>
        <w:ind w:left="320" w:right="520" w:hanging="315"/>
        <w:spacing w:after="0" w:line="295"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640" w:right="20" w:hanging="322"/>
        <w:spacing w:after="0" w:line="295" w:lineRule="auto"/>
        <w:tabs>
          <w:tab w:leader="none" w:pos="63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640" w:right="260" w:hanging="322"/>
        <w:spacing w:after="0" w:line="295" w:lineRule="auto"/>
        <w:tabs>
          <w:tab w:leader="none" w:pos="63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8, 2024</w:t>
      </w:r>
    </w:p>
    <w:p>
      <w:pPr>
        <w:spacing w:after="0" w:line="14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DROPBOX, INC.</w:t>
      </w:r>
    </w:p>
    <w:p>
      <w:pPr>
        <w:spacing w:after="0" w:line="275" w:lineRule="exact"/>
        <w:rPr>
          <w:sz w:val="20"/>
          <w:szCs w:val="20"/>
          <w:color w:val="auto"/>
        </w:rPr>
      </w:pPr>
    </w:p>
    <w:tbl>
      <w:tblPr>
        <w:tblLayout w:type="fixed"/>
        <w:tblInd w:w="66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Andrew W. Houston</w:t>
            </w: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W. Houston</w:t>
            </w:r>
          </w:p>
        </w:tc>
      </w:tr>
      <w:tr>
        <w:trPr>
          <w:trHeight w:val="222"/>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7"/>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40"/>
          </w:cols>
          <w:pgMar w:left="320" w:top="1060"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Timothy J. Regan, certify that:</w:t>
      </w:r>
    </w:p>
    <w:p>
      <w:pPr>
        <w:spacing w:after="0" w:line="223" w:lineRule="exact"/>
        <w:rPr>
          <w:sz w:val="20"/>
          <w:szCs w:val="20"/>
          <w:color w:val="auto"/>
        </w:rPr>
      </w:pPr>
    </w:p>
    <w:p>
      <w:pPr>
        <w:ind w:left="320" w:hanging="315"/>
        <w:spacing w:after="0"/>
        <w:tabs>
          <w:tab w:leader="none" w:pos="3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Dropbox, Inc.;</w:t>
      </w:r>
    </w:p>
    <w:p>
      <w:pPr>
        <w:spacing w:after="0" w:line="222"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left="320" w:right="80" w:hanging="315"/>
        <w:spacing w:after="0" w:line="295" w:lineRule="auto"/>
        <w:tabs>
          <w:tab w:leader="none" w:pos="3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Times New Roman" w:cs="Times New Roman" w:eastAsia="Times New Roman" w:hAnsi="Times New Roman"/>
          <w:sz w:val="17"/>
          <w:szCs w:val="17"/>
          <w:color w:val="auto"/>
        </w:rPr>
      </w:pPr>
    </w:p>
    <w:p>
      <w:pPr>
        <w:ind w:left="640" w:right="240" w:hanging="322"/>
        <w:spacing w:after="0" w:line="276" w:lineRule="auto"/>
        <w:tabs>
          <w:tab w:leader="none" w:pos="6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640" w:right="100" w:hanging="322"/>
        <w:spacing w:after="0" w:line="295" w:lineRule="auto"/>
        <w:tabs>
          <w:tab w:leader="none" w:pos="63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640" w:right="140" w:hanging="322"/>
        <w:spacing w:after="0" w:line="276" w:lineRule="auto"/>
        <w:tabs>
          <w:tab w:leader="none" w:pos="6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7"/>
          <w:szCs w:val="17"/>
          <w:color w:val="auto"/>
        </w:rPr>
      </w:pPr>
    </w:p>
    <w:p>
      <w:pPr>
        <w:ind w:left="320" w:right="520" w:hanging="315"/>
        <w:spacing w:after="0" w:line="295" w:lineRule="auto"/>
        <w:tabs>
          <w:tab w:leader="none" w:pos="3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640" w:right="20" w:hanging="322"/>
        <w:spacing w:after="0" w:line="295" w:lineRule="auto"/>
        <w:tabs>
          <w:tab w:leader="none" w:pos="6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640" w:right="260" w:hanging="322"/>
        <w:spacing w:after="0" w:line="295" w:lineRule="auto"/>
        <w:tabs>
          <w:tab w:leader="none" w:pos="63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8, 2024</w:t>
      </w:r>
    </w:p>
    <w:p>
      <w:pPr>
        <w:spacing w:after="0" w:line="26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DROPBOX, INC.</w:t>
      </w:r>
    </w:p>
    <w:p>
      <w:pPr>
        <w:spacing w:after="0" w:line="223" w:lineRule="exact"/>
        <w:rPr>
          <w:sz w:val="20"/>
          <w:szCs w:val="20"/>
          <w:color w:val="auto"/>
        </w:rPr>
      </w:pPr>
    </w:p>
    <w:p>
      <w:pPr>
        <w:ind w:left="4900"/>
        <w:spacing w:after="0"/>
        <w:tabs>
          <w:tab w:leader="none" w:pos="54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20320</wp:posOffset>
            </wp:positionV>
            <wp:extent cx="1419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19225" cy="8255"/>
                    </a:xfrm>
                    <a:prstGeom prst="rect">
                      <a:avLst/>
                    </a:prstGeom>
                    <a:noFill/>
                  </pic:spPr>
                </pic:pic>
              </a:graphicData>
            </a:graphic>
          </wp:anchor>
        </w:drawing>
      </w:r>
    </w:p>
    <w:p>
      <w:pPr>
        <w:spacing w:after="0" w:line="2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Name: Timothy J. Regan</w:t>
      </w:r>
    </w:p>
    <w:p>
      <w:pPr>
        <w:spacing w:after="0" w:line="32" w:lineRule="exact"/>
        <w:rPr>
          <w:sz w:val="20"/>
          <w:szCs w:val="20"/>
          <w:color w:val="auto"/>
        </w:rPr>
      </w:pPr>
    </w:p>
    <w:p>
      <w:pPr>
        <w:ind w:left="4900"/>
        <w:spacing w:after="0"/>
        <w:tabs>
          <w:tab w:leader="none" w:pos="5420" w:val="left"/>
        </w:tabs>
        <w:rPr>
          <w:sz w:val="20"/>
          <w:szCs w:val="20"/>
          <w:color w:val="auto"/>
        </w:rPr>
      </w:pPr>
      <w:r>
        <w:rPr>
          <w:rFonts w:ascii="Times New Roman" w:cs="Times New Roman" w:eastAsia="Times New Roman" w:hAnsi="Times New Roman"/>
          <w:sz w:val="17"/>
          <w:szCs w:val="17"/>
          <w:color w:val="auto"/>
        </w:rPr>
        <w:t>Title:</w:t>
        <w:tab/>
        <w:t>Chief Financial Officer</w:t>
      </w:r>
    </w:p>
    <w:p>
      <w:pPr>
        <w:spacing w:after="0" w:line="40" w:lineRule="exact"/>
        <w:rPr>
          <w:sz w:val="20"/>
          <w:szCs w:val="20"/>
          <w:color w:val="auto"/>
        </w:rPr>
      </w:pPr>
    </w:p>
    <w:p>
      <w:pPr>
        <w:ind w:left="5440"/>
        <w:spacing w:after="0"/>
        <w:tabs>
          <w:tab w:leader="none" w:pos="6320" w:val="left"/>
          <w:tab w:leader="none" w:pos="7360" w:val="left"/>
        </w:tabs>
        <w:rPr>
          <w:sz w:val="20"/>
          <w:szCs w:val="20"/>
          <w:color w:val="auto"/>
        </w:rPr>
      </w:pPr>
      <w:r>
        <w:rPr>
          <w:rFonts w:ascii="Times New Roman" w:cs="Times New Roman" w:eastAsia="Times New Roman" w:hAnsi="Times New Roman"/>
          <w:sz w:val="17"/>
          <w:szCs w:val="17"/>
          <w:color w:val="auto"/>
        </w:rPr>
        <w:t>(Principal</w:t>
        <w:tab/>
        <w:t>Accounting</w:t>
      </w:r>
      <w:r>
        <w:rPr>
          <w:sz w:val="20"/>
          <w:szCs w:val="20"/>
          <w:color w:val="auto"/>
        </w:rPr>
        <w:tab/>
      </w:r>
      <w:r>
        <w:rPr>
          <w:rFonts w:ascii="Times New Roman" w:cs="Times New Roman" w:eastAsia="Times New Roman" w:hAnsi="Times New Roman"/>
          <w:sz w:val="16"/>
          <w:szCs w:val="16"/>
          <w:color w:val="auto"/>
        </w:rPr>
        <w:t>and</w:t>
      </w:r>
    </w:p>
    <w:p>
      <w:pPr>
        <w:spacing w:after="0" w:line="1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Financial Officer)</w:t>
      </w:r>
    </w:p>
    <w:p>
      <w:pPr>
        <w:sectPr>
          <w:pgSz w:w="11900" w:h="16838" w:orient="portrait"/>
          <w:cols w:equalWidth="0" w:num="1">
            <w:col w:w="11240"/>
          </w:cols>
          <w:pgMar w:left="320" w:top="106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CERTIFICATIONS OF PRINCIPAL EXECUTIVE OFFICER AND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906 OF THE SARBANES-OXLEY ACT OF 2002</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 Andrew W. Houston, certify, pursuant to 18 U.S.C. Section 1350, as adopted pursuant to Section 906 of the Sarbanes-Oxley Act of 2002, that the Quarterly Report on Form 10-Q of Dropbox, Inc. for the fiscal quarter ended September 30, 2024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November 8, 2024</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Andrew W. Houston</w:t>
            </w:r>
          </w:p>
        </w:tc>
      </w:tr>
      <w:tr>
        <w:trPr>
          <w:trHeight w:val="241"/>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Andrew W. Houston</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Chief Executive Officer</w:t>
            </w:r>
          </w:p>
        </w:tc>
      </w:tr>
      <w:tr>
        <w:trPr>
          <w:trHeight w:val="267"/>
        </w:trPr>
        <w:tc>
          <w:tcPr>
            <w:tcW w:w="1120" w:type="dxa"/>
            <w:vAlign w:val="bottom"/>
            <w:shd w:val="clear" w:color="auto" w:fill="FEFEFE"/>
          </w:tcPr>
          <w:p>
            <w:pPr>
              <w:spacing w:after="0"/>
              <w:rPr>
                <w:sz w:val="23"/>
                <w:szCs w:val="23"/>
                <w:color w:val="auto"/>
              </w:rPr>
            </w:pPr>
          </w:p>
        </w:tc>
        <w:tc>
          <w:tcPr>
            <w:tcW w:w="4880" w:type="dxa"/>
            <w:vAlign w:val="bottom"/>
            <w:shd w:val="clear" w:color="auto" w:fill="FEFEFE"/>
          </w:tcPr>
          <w:p>
            <w:pPr>
              <w:spacing w:after="0"/>
              <w:rPr>
                <w:sz w:val="23"/>
                <w:szCs w:val="23"/>
                <w:color w:val="auto"/>
              </w:rPr>
            </w:pPr>
          </w:p>
        </w:tc>
        <w:tc>
          <w:tcPr>
            <w:tcW w:w="860" w:type="dxa"/>
            <w:vAlign w:val="bottom"/>
            <w:shd w:val="clear" w:color="auto" w:fill="FEFEFE"/>
          </w:tcPr>
          <w:p>
            <w:pPr>
              <w:spacing w:after="0"/>
              <w:rPr>
                <w:sz w:val="23"/>
                <w:szCs w:val="23"/>
                <w:color w:val="auto"/>
              </w:rPr>
            </w:pP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(Principal Executive Officer)</w:t>
            </w:r>
          </w:p>
        </w:tc>
      </w:tr>
      <w:tr>
        <w:trPr>
          <w:trHeight w:val="282"/>
        </w:trPr>
        <w:tc>
          <w:tcPr>
            <w:tcW w:w="1120" w:type="dxa"/>
            <w:vAlign w:val="bottom"/>
            <w:shd w:val="clear" w:color="auto" w:fill="FEFEFE"/>
          </w:tcPr>
          <w:p>
            <w:pPr>
              <w:spacing w:after="0"/>
              <w:rPr>
                <w:sz w:val="24"/>
                <w:szCs w:val="24"/>
                <w:color w:val="auto"/>
              </w:rPr>
            </w:pPr>
          </w:p>
        </w:tc>
        <w:tc>
          <w:tcPr>
            <w:tcW w:w="488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4380" w:type="dxa"/>
            <w:vAlign w:val="bottom"/>
            <w:shd w:val="clear" w:color="auto" w:fill="FEFEFE"/>
          </w:tcPr>
          <w:p>
            <w:pPr>
              <w:spacing w:after="0"/>
              <w:rPr>
                <w:sz w:val="24"/>
                <w:szCs w:val="24"/>
                <w:color w:val="auto"/>
              </w:rPr>
            </w:pPr>
          </w:p>
        </w:tc>
      </w:tr>
    </w:tbl>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 Timothy J. Regan, certify, pursuant to 18 U.S.C. Section 1350, as adopted pursuant to Section 906 of the Sarbanes-Oxley Act of 2002, that the Quarterly Report on Form 10-Q of Dropbox, Inc. for the fiscal quarter ended September 30, 2024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November 8, 2024</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Timothy J. Regan</w:t>
            </w:r>
          </w:p>
        </w:tc>
      </w:tr>
      <w:tr>
        <w:trPr>
          <w:trHeight w:val="241"/>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Timothy J. Regan</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(Principal Accounting and Financial Officer)</w:t>
            </w:r>
          </w:p>
        </w:tc>
      </w:tr>
    </w:tbl>
    <w:p>
      <w:pPr>
        <w:spacing w:after="0" w:line="1" w:lineRule="exact"/>
        <w:rPr>
          <w:sz w:val="20"/>
          <w:szCs w:val="20"/>
          <w:color w:val="auto"/>
        </w:rPr>
      </w:pPr>
    </w:p>
    <w:sectPr>
      <w:pgSz w:w="11900" w:h="16838" w:orient="portrait"/>
      <w:cols w:equalWidth="0" w:num="1">
        <w:col w:w="11240"/>
      </w:cols>
      <w:pgMar w:left="320" w:top="10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2"/>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2"/>
    </w:lvl>
  </w:abstractNum>
  <w:abstractNum w:abstractNumId="15">
    <w:nsid w:val="4353D0CD"/>
    <w:multiLevelType w:val="hybridMultilevel"/>
    <w:lvl w:ilvl="0">
      <w:lvlJc w:val="left"/>
      <w:lvlText w:val="(%1)"/>
      <w:numFmt w:val="decimal"/>
      <w:start w:val="2"/>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01"/>
    </w:lvl>
  </w:abstractNum>
  <w:abstractNum w:abstractNumId="32">
    <w:nsid w:val="614FD4A1"/>
    <w:multiLevelType w:val="hybridMultilevel"/>
    <w:lvl w:ilvl="0">
      <w:lvlJc w:val="left"/>
      <w:lvlText w:val="†"/>
      <w:numFmt w:val="bullet"/>
      <w:start w:val="1"/>
    </w:lvl>
    <w:lvl w:ilvl="1">
      <w:lvlJc w:val="left"/>
      <w:lvlText w:val="%2"/>
      <w:numFmt w:val="decimal"/>
      <w:start w:val="104"/>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2024-11-08T15:33:46Z</dcterms:created>
  <dcterms:modified xsi:type="dcterms:W3CDTF">2024-11-08T15:33:46Z</dcterms:modified>
</cp:coreProperties>
</file>