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JACOBS PAUL 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Arial" w:cs="Arial" w:eastAsia="Arial" w:hAnsi="Arial"/>
                <w:sz w:val="17"/>
                <w:szCs w:val="17"/>
                <w:color w:val="0000FF"/>
              </w:rPr>
              <w:t>05/20/2021</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400" w:type="dxa"/>
            <w:vAlign w:val="bottom"/>
            <w:tcBorders>
              <w:bottom w:val="single" w:sz="8" w:color="9A9A9A"/>
            </w:tcBorders>
            <w:gridSpan w:val="2"/>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18"/>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5"/>
          </w:tcPr>
          <w:p>
            <w:pPr>
              <w:ind w:left="820"/>
              <w:spacing w:after="0"/>
              <w:rPr>
                <w:sz w:val="20"/>
                <w:szCs w:val="20"/>
                <w:color w:val="auto"/>
              </w:rPr>
            </w:pPr>
            <w:r>
              <w:rPr>
                <w:rFonts w:ascii="Arial" w:cs="Arial" w:eastAsia="Arial" w:hAnsi="Arial"/>
                <w:sz w:val="17"/>
                <w:szCs w:val="17"/>
                <w:color w:val="0000FF"/>
              </w:rPr>
              <w:t>05/20/2021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93"/>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9"/>
              </w:rPr>
              <w:t>9,335</w:t>
            </w:r>
            <w:r>
              <w:rPr>
                <w:rFonts w:ascii="Arial" w:cs="Arial" w:eastAsia="Arial" w:hAnsi="Arial"/>
                <w:sz w:val="22"/>
                <w:szCs w:val="22"/>
                <w:color w:val="008000"/>
                <w:w w:val="99"/>
                <w:vertAlign w:val="superscript"/>
              </w:rPr>
              <w:t>(1)</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00" w:type="dxa"/>
            <w:vAlign w:val="bottom"/>
            <w:tcBorders>
              <w:bottom w:val="single" w:sz="8" w:color="2C2C2C"/>
            </w:tcBorders>
            <w:gridSpan w:val="3"/>
          </w:tcPr>
          <w:p>
            <w:pPr>
              <w:jc w:val="center"/>
              <w:ind w:right="200"/>
              <w:spacing w:after="0"/>
              <w:rPr>
                <w:sz w:val="20"/>
                <w:szCs w:val="20"/>
                <w:color w:val="auto"/>
              </w:rPr>
            </w:pPr>
            <w:r>
              <w:rPr>
                <w:rFonts w:ascii="Arial" w:cs="Arial" w:eastAsia="Arial" w:hAnsi="Arial"/>
                <w:sz w:val="17"/>
                <w:szCs w:val="17"/>
                <w:color w:val="0000FF"/>
              </w:rPr>
              <w:t>101,549</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right"/>
              <w:ind w:right="280"/>
              <w:spacing w:after="0"/>
              <w:rPr>
                <w:sz w:val="20"/>
                <w:szCs w:val="20"/>
                <w:color w:val="auto"/>
              </w:rPr>
            </w:pPr>
            <w:r>
              <w:rPr>
                <w:rFonts w:ascii="Arial" w:cs="Arial" w:eastAsia="Arial" w:hAnsi="Arial"/>
                <w:sz w:val="17"/>
                <w:szCs w:val="17"/>
                <w:color w:val="0000FF"/>
              </w:rPr>
              <w:t>178,058</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20" w:type="dxa"/>
            <w:vAlign w:val="bottom"/>
            <w:gridSpan w:val="17"/>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20, 2022 or the day prior to the date of the Issuer's next annual meeting of stockholders.</w:t>
      </w:r>
    </w:p>
    <w:p>
      <w:pPr>
        <w:spacing w:after="0" w:line="15"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20, 2022 or the day prior to the date of the Issuer's next annual meeting of stockholders. In the event the Reporting Person ceases to be a Service Provider, the unvested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3. Shares are held by Paul E. Jacobs Trust u/a/d November 7, 2014, for which the Reporting Person serves as trustee.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05/24/2021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131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2021-05-24T18:52:31Z</dcterms:created>
  <dcterms:modified xsi:type="dcterms:W3CDTF">2021-05-24T18:52:31Z</dcterms:modified>
</cp:coreProperties>
</file>