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MYLOD ROBERT J JR</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DROPBOX,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DBX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restart"/>
          </w:tcPr>
          <w:p>
            <w:pPr>
              <w:ind w:left="100"/>
              <w:spacing w:after="0"/>
              <w:rPr>
                <w:sz w:val="20"/>
                <w:szCs w:val="20"/>
                <w:color w:val="auto"/>
              </w:rPr>
            </w:pPr>
            <w:r>
              <w:rPr>
                <w:rFonts w:ascii="Arial" w:cs="Arial" w:eastAsia="Arial" w:hAnsi="Arial"/>
                <w:sz w:val="18"/>
                <w:szCs w:val="18"/>
                <w:color w:val="0000FF"/>
                <w:w w:val="99"/>
              </w:rPr>
              <w:t>X</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1780" w:type="dxa"/>
            <w:vAlign w:val="bottom"/>
            <w:gridSpan w:val="3"/>
          </w:tcPr>
          <w:p>
            <w:pPr>
              <w:ind w:left="6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333 BRANNAN STREET</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gridSpan w:val="5"/>
          </w:tcPr>
          <w:p>
            <w:pPr>
              <w:ind w:left="160"/>
              <w:spacing w:after="0"/>
              <w:rPr>
                <w:sz w:val="20"/>
                <w:szCs w:val="20"/>
                <w:color w:val="auto"/>
              </w:rPr>
            </w:pPr>
            <w:r>
              <w:rPr>
                <w:rFonts w:ascii="Arial" w:cs="Arial" w:eastAsia="Arial" w:hAnsi="Arial"/>
                <w:sz w:val="18"/>
                <w:szCs w:val="18"/>
                <w:color w:val="0000FF"/>
              </w:rPr>
              <w:t>05/30/2019</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60" w:type="dxa"/>
            <w:vAlign w:val="bottom"/>
            <w:tcBorders>
              <w:bottom w:val="single" w:sz="8" w:color="2C2C2C"/>
            </w:tcBorders>
            <w:gridSpan w:val="4"/>
          </w:tcPr>
          <w:p>
            <w:pPr>
              <w:spacing w:after="0"/>
              <w:rPr>
                <w:sz w:val="12"/>
                <w:szCs w:val="12"/>
                <w:color w:val="auto"/>
              </w:rPr>
            </w:pPr>
          </w:p>
        </w:tc>
        <w:tc>
          <w:tcPr>
            <w:tcW w:w="1920" w:type="dxa"/>
            <w:vAlign w:val="bottom"/>
            <w:tcBorders>
              <w:bottom w:val="single" w:sz="8" w:color="2C2C2C"/>
            </w:tcBorders>
            <w:gridSpan w:val="3"/>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42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8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80" w:type="dxa"/>
            <w:vAlign w:val="bottom"/>
            <w:gridSpan w:val="7"/>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spacing w:after="0" w:line="155" w:lineRule="exact"/>
              <w:rPr>
                <w:sz w:val="20"/>
                <w:szCs w:val="20"/>
                <w:color w:val="auto"/>
              </w:rPr>
            </w:pPr>
            <w:r>
              <w:rPr>
                <w:rFonts w:ascii="Arial" w:cs="Arial" w:eastAsia="Arial" w:hAnsi="Arial"/>
                <w:sz w:val="14"/>
                <w:szCs w:val="14"/>
                <w:color w:val="auto"/>
              </w:rPr>
              <w:t>Line)</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Arial" w:cs="Arial" w:eastAsia="Arial" w:hAnsi="Arial"/>
                <w:sz w:val="18"/>
                <w:szCs w:val="18"/>
                <w:color w:val="0000FF"/>
              </w:rPr>
              <w:t>SAN</w:t>
            </w:r>
          </w:p>
        </w:tc>
        <w:tc>
          <w:tcPr>
            <w:tcW w:w="600" w:type="dxa"/>
            <w:vAlign w:val="bottom"/>
          </w:tcPr>
          <w:p>
            <w:pPr>
              <w:spacing w:after="0"/>
              <w:rPr>
                <w:sz w:val="18"/>
                <w:szCs w:val="18"/>
                <w:color w:val="auto"/>
              </w:rPr>
            </w:pP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94107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2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ind w:left="22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23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400" w:type="dxa"/>
            <w:vAlign w:val="bottom"/>
            <w:tcBorders>
              <w:top w:val="single" w:sz="8" w:color="2C2C2C"/>
            </w:tcBorders>
            <w:gridSpan w:val="18"/>
          </w:tcPr>
          <w:p>
            <w:pPr>
              <w:jc w:val="center"/>
              <w:ind w:right="39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2"/>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5"/>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rPr>
              <w:t>Class A Common Stock</w:t>
            </w:r>
          </w:p>
        </w:tc>
        <w:tc>
          <w:tcPr>
            <w:tcW w:w="1680" w:type="dxa"/>
            <w:vAlign w:val="bottom"/>
            <w:tcBorders>
              <w:bottom w:val="single" w:sz="8" w:color="2C2C2C"/>
            </w:tcBorders>
            <w:gridSpan w:val="5"/>
          </w:tcPr>
          <w:p>
            <w:pPr>
              <w:ind w:left="740"/>
              <w:spacing w:after="0"/>
              <w:rPr>
                <w:sz w:val="20"/>
                <w:szCs w:val="20"/>
                <w:color w:val="auto"/>
              </w:rPr>
            </w:pPr>
            <w:r>
              <w:rPr>
                <w:rFonts w:ascii="Arial" w:cs="Arial" w:eastAsia="Arial" w:hAnsi="Arial"/>
                <w:sz w:val="18"/>
                <w:szCs w:val="18"/>
                <w:color w:val="0000FF"/>
              </w:rPr>
              <w:t>05/30/2019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2"/>
          </w:tcPr>
          <w:p>
            <w:pPr>
              <w:jc w:val="center"/>
              <w:ind w:right="360"/>
              <w:spacing w:after="0"/>
              <w:rPr>
                <w:sz w:val="20"/>
                <w:szCs w:val="20"/>
                <w:color w:val="auto"/>
              </w:rPr>
            </w:pPr>
            <w:r>
              <w:rPr>
                <w:rFonts w:ascii="Arial" w:cs="Arial" w:eastAsia="Arial" w:hAnsi="Arial"/>
                <w:sz w:val="27"/>
                <w:szCs w:val="27"/>
                <w:color w:val="0000FF"/>
                <w:w w:val="78"/>
                <w:vertAlign w:val="subscript"/>
              </w:rPr>
              <w:t>S</w:t>
            </w:r>
            <w:r>
              <w:rPr>
                <w:rFonts w:ascii="Arial" w:cs="Arial" w:eastAsia="Arial" w:hAnsi="Arial"/>
                <w:sz w:val="11"/>
                <w:szCs w:val="11"/>
                <w:color w:val="008000"/>
                <w:w w:val="78"/>
              </w:rPr>
              <w:t>(1)</w:t>
            </w: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6,072</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840" w:type="dxa"/>
            <w:vAlign w:val="bottom"/>
            <w:tcBorders>
              <w:bottom w:val="single" w:sz="8" w:color="2C2C2C"/>
            </w:tcBorders>
            <w:gridSpan w:val="4"/>
          </w:tcPr>
          <w:p>
            <w:pPr>
              <w:ind w:left="16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22.53</w:t>
            </w:r>
            <w:r>
              <w:rPr>
                <w:rFonts w:ascii="Arial" w:cs="Arial" w:eastAsia="Arial" w:hAnsi="Arial"/>
                <w:sz w:val="22"/>
                <w:szCs w:val="22"/>
                <w:color w:val="008000"/>
                <w:w w:val="90"/>
                <w:vertAlign w:val="superscript"/>
              </w:rPr>
              <w:t>(2)</w:t>
            </w:r>
          </w:p>
        </w:tc>
        <w:tc>
          <w:tcPr>
            <w:tcW w:w="1240" w:type="dxa"/>
            <w:vAlign w:val="bottom"/>
            <w:tcBorders>
              <w:bottom w:val="single" w:sz="8" w:color="2C2C2C"/>
            </w:tcBorders>
            <w:gridSpan w:val="2"/>
          </w:tcPr>
          <w:p>
            <w:pPr>
              <w:jc w:val="center"/>
              <w:ind w:right="259"/>
              <w:spacing w:after="0"/>
              <w:rPr>
                <w:sz w:val="20"/>
                <w:szCs w:val="20"/>
                <w:color w:val="auto"/>
              </w:rPr>
            </w:pPr>
            <w:r>
              <w:rPr>
                <w:rFonts w:ascii="Arial" w:cs="Arial" w:eastAsia="Arial" w:hAnsi="Arial"/>
                <w:sz w:val="18"/>
                <w:szCs w:val="18"/>
                <w:color w:val="0000FF"/>
              </w:rPr>
              <w:t>67,611</w:t>
            </w:r>
            <w:r>
              <w:rPr>
                <w:rFonts w:ascii="Arial" w:cs="Arial" w:eastAsia="Arial" w:hAnsi="Arial"/>
                <w:sz w:val="22"/>
                <w:szCs w:val="22"/>
                <w:color w:val="008000"/>
                <w:vertAlign w:val="superscript"/>
              </w:rPr>
              <w:t>(3)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40" w:type="dxa"/>
            <w:vAlign w:val="bottom"/>
            <w:gridSpan w:val="6"/>
            <w:vMerge w:val="restart"/>
          </w:tcPr>
          <w:p>
            <w:pPr>
              <w:ind w:left="60"/>
              <w:spacing w:after="0"/>
              <w:rPr>
                <w:sz w:val="20"/>
                <w:szCs w:val="20"/>
                <w:color w:val="auto"/>
              </w:rPr>
            </w:pPr>
            <w:r>
              <w:rPr>
                <w:rFonts w:ascii="Arial" w:cs="Arial" w:eastAsia="Arial" w:hAnsi="Arial"/>
                <w:sz w:val="18"/>
                <w:szCs w:val="18"/>
                <w:color w:val="0000FF"/>
              </w:rPr>
              <w:t>Class A Common Stock</w:t>
            </w: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gridSpan w:val="2"/>
            <w:vMerge w:val="restart"/>
          </w:tcPr>
          <w:p>
            <w:pPr>
              <w:jc w:val="right"/>
              <w:ind w:right="299"/>
              <w:spacing w:after="0"/>
              <w:rPr>
                <w:sz w:val="20"/>
                <w:szCs w:val="20"/>
                <w:color w:val="auto"/>
              </w:rPr>
            </w:pPr>
            <w:r>
              <w:rPr>
                <w:rFonts w:ascii="Arial" w:cs="Arial" w:eastAsia="Arial" w:hAnsi="Arial"/>
                <w:sz w:val="18"/>
                <w:szCs w:val="18"/>
                <w:color w:val="0000FF"/>
              </w:rPr>
              <w:t>122,698</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6"/>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12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80" w:type="dxa"/>
            <w:vAlign w:val="bottom"/>
            <w:tcBorders>
              <w:top w:val="single" w:sz="8" w:color="2C2C2C"/>
            </w:tcBorders>
            <w:gridSpan w:val="17"/>
          </w:tcPr>
          <w:p>
            <w:pPr>
              <w:jc w:val="center"/>
              <w:ind w:left="1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74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were sold pursuant to a Rule 10b5-1 trading plan entered into by the Reporting Person.</w:t>
      </w:r>
    </w:p>
    <w:p>
      <w:pPr>
        <w:spacing w:after="0" w:line="41"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$22.26 to $22.93.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2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Certain of these securities are restricted stock units. Each restricted stock unit represents the Reporting Person's right to receive one share of Class A Common Stock, subject to the applicable vesting schedule through May 23, 2020 or the day prior to the date of the Issuer's next annual meeting of stockholders. In the event the Reporting Person ceases to be a Service Provider, the unvested restricted stock units will be cancelled by the Issuer.</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are held by Annox Capital, LLC ("Annox"). The Reporting Person is the managing member of Annox and has sole voting and investment control over the shares held by Annox.</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Mary Anne Becking,</w:t>
            </w:r>
          </w:p>
        </w:tc>
        <w:tc>
          <w:tcPr>
            <w:tcW w:w="4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06/03/2019</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460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2019-12-24T08:05:44Z</dcterms:created>
  <dcterms:modified xsi:type="dcterms:W3CDTF">2019-12-24T08:05:44Z</dcterms:modified>
</cp:coreProperties>
</file>