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5128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51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2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2"/>
                </w:rPr>
                <w:t>Yoon William T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 w:line="83" w:lineRule="exact"/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9"/>
                  <w:szCs w:val="9"/>
                  <w:color w:val="0000EE"/>
                </w:rPr>
                <w:t xml:space="preserve">DROPBOX, INC. </w:t>
              </w:r>
            </w:hyperlink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DBX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]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Chief Legal Officer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1800 OWENS STREET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11/17/2025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SUITE 200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808080"/>
            </w:tcBorders>
            <w:gridSpan w:val="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SAN FRANCISCO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94158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11/17/2025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10,292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30.36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213,370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11/18/2025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4,500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28.9862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w w:val="98"/>
                <w:vertAlign w:val="superscript"/>
              </w:rPr>
              <w:t>(4)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208,870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11/18/2025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2,642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29.5299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w w:val="98"/>
                <w:vertAlign w:val="superscript"/>
              </w:rPr>
              <w:t>(5)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206,228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  <w:gridSpan w:val="1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Represents shares that have been withheld by the Issuer to satisfy tax withholding and remittance obligations in connection with the vesting and net settlement of restricted stock units previously reported.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6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February 15, 2029. In the event the Reporting Person ceases to be a Service Provider, the unvested restricted stock units will be cancelled by the Issuer.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These shares were sold pursuant to a Rule 10b5-1 trading plan adopted by the Reporting Person on June 8, 2025.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This transaction was executed in multiple trades at prices ranging from $28.45 to $29.43.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This transaction was executed in multiple trades at prices ranging from $29.45 to $29.66.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Cara Angelmar, Attorney-in-Fact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11/19/2025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2059795" TargetMode="External"/><Relationship Id="rId14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2025-11-19T17:05:38Z</dcterms:created>
  <dcterms:modified xsi:type="dcterms:W3CDTF">2025-11-19T17:05:38Z</dcterms:modified>
</cp:coreProperties>
</file>