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Volkmer Bart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04/01/2024</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Chief Legal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04/01/2024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145,026</w:t>
            </w:r>
            <w:r>
              <w:rPr>
                <w:rFonts w:ascii="Times New Roman" w:cs="Times New Roman" w:eastAsia="Times New Roman" w:hAnsi="Times New Roman"/>
                <w:sz w:val="22"/>
                <w:szCs w:val="22"/>
                <w:color w:val="008000"/>
                <w:w w:val="93"/>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379,014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Each restricted stock unit represents the Reporting Person's right to receive one share of Class A Common Stock. The restricted stock units vest as to 1/16th of the shares on May 15, 2024 and each three-month anniversary thereafter through February 15, 2028.</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04/03/2024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39"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2024-04-03T15:05:24Z</dcterms:created>
  <dcterms:modified xsi:type="dcterms:W3CDTF">2024-04-03T15:05:24Z</dcterms:modified>
</cp:coreProperties>
</file>