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4854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485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Houston Andrew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09/08/2025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Executive Officer</w:t>
      </w:r>
    </w:p>
    <w:p>
      <w:pPr>
        <w:spacing w:after="0" w:line="4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09/08/2025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89"/>
              </w:rPr>
              <w:t>C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45,835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45,835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09/08/2025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9"/>
              </w:rPr>
              <w:t>(3)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45,835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30.0419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8,266,666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(5)</w:t>
            </w: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716,728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444,444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09/08/2025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45,835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45,835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67,237,794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 foonote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6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7,608,764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7,608,764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6"/>
                <w:szCs w:val="6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500,500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 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(9)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6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45,835 shares of Class B Common Stock were converted into 45,835 shares of Class A Common Stock at the election of the Reporting Person and had no expiration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Andrew Houston Revocable Trust u/a/d 9/7/2011, for which Reporting Person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March 12,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$30.00 to $30.15.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8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Houston Remainder Trust u/a/d 12/30/2010, for which reporting Person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Erin Yu Houston Revocable Trust u/a/d 1/18/2024, for which the Reporting Person's spouse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Issuer's Class B Common Stock is convertible into the Issuer's Class A Common Stock on a one-for-one basis at the Reporting Person's election and has no expiration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Houston 2012 Irrevocable Children's Trust u/a/d 4/12/2012, for which Reporting Person serves as trustee.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4563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2025-09-10T15:40:14Z</dcterms:created>
  <dcterms:modified xsi:type="dcterms:W3CDTF">2025-09-10T15:40:14Z</dcterms:modified>
</cp:coreProperties>
</file>