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Form 8-K</w:t>
      </w:r>
    </w:p>
    <w:p>
      <w:pPr>
        <w:spacing w:after="0" w:line="2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2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April 7, 2025</w:t>
      </w:r>
    </w:p>
    <w:p>
      <w:pPr>
        <w:spacing w:after="0" w:line="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2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1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40"/>
          </w:cols>
          <w:pgMar w:left="320" w:top="849" w:right="239" w:bottom="1440" w:gutter="0" w:footer="0" w:header="0"/>
        </w:sectPr>
      </w:pPr>
    </w:p>
    <w:p>
      <w:pPr>
        <w:spacing w:after="0" w:line="103"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7"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001-38434</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26-0138832</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20" w:lineRule="exact"/>
        <w:rPr>
          <w:sz w:val="24"/>
          <w:szCs w:val="24"/>
          <w:color w:val="auto"/>
        </w:rPr>
      </w:pPr>
    </w:p>
    <w:p>
      <w:pPr>
        <w:sectPr>
          <w:pgSz w:w="11900" w:h="16838" w:orient="portrait"/>
          <w:cols w:equalWidth="0" w:num="3">
            <w:col w:w="3860" w:space="720"/>
            <w:col w:w="2200" w:space="720"/>
            <w:col w:w="3840"/>
          </w:cols>
          <w:pgMar w:left="320" w:top="849" w:right="2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7"/>
          <w:szCs w:val="17"/>
          <w:b w:val="1"/>
          <w:bCs w:val="1"/>
          <w:color w:val="auto"/>
        </w:rPr>
        <w:t>incorporation)</w:t>
      </w:r>
    </w:p>
    <w:p>
      <w:pPr>
        <w:sectPr>
          <w:pgSz w:w="11900" w:h="16838" w:orient="portrait"/>
          <w:cols w:equalWidth="0" w:num="1">
            <w:col w:w="11340"/>
          </w:cols>
          <w:pgMar w:left="320" w:top="849" w:right="239" w:bottom="1440" w:gutter="0" w:footer="0" w:header="0"/>
          <w:type w:val="continuous"/>
        </w:sectPr>
      </w:pPr>
    </w:p>
    <w:p>
      <w:pPr>
        <w:spacing w:after="0" w:line="31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1800 Owens St.</w:t>
      </w:r>
    </w:p>
    <w:p>
      <w:pPr>
        <w:spacing w:after="0" w:line="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(415) 930-7766</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5" w:lineRule="exact"/>
        <w:rPr>
          <w:sz w:val="24"/>
          <w:szCs w:val="24"/>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30"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84"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82550</wp:posOffset>
            </wp:positionV>
            <wp:extent cx="6258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8560" cy="8255"/>
                    </a:xfrm>
                    <a:prstGeom prst="rect">
                      <a:avLst/>
                    </a:prstGeom>
                    <a:noFill/>
                  </pic:spPr>
                </pic:pic>
              </a:graphicData>
            </a:graphic>
          </wp:anchor>
        </w:drawing>
      </w:r>
    </w:p>
    <w:p>
      <w:pPr>
        <w:spacing w:after="0" w:line="148"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80" w:type="dxa"/>
            <w:vAlign w:val="bottom"/>
          </w:tcPr>
          <w:p>
            <w:pPr>
              <w:spacing w:after="0"/>
              <w:rPr>
                <w:sz w:val="13"/>
                <w:szCs w:val="13"/>
                <w:color w:val="auto"/>
              </w:rPr>
            </w:pPr>
          </w:p>
        </w:tc>
        <w:tc>
          <w:tcPr>
            <w:tcW w:w="19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100" w:type="dxa"/>
            <w:vAlign w:val="bottom"/>
            <w:gridSpan w:val="2"/>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208"/>
        </w:trPr>
        <w:tc>
          <w:tcPr>
            <w:tcW w:w="426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DBX</w:t>
            </w:r>
          </w:p>
        </w:tc>
        <w:tc>
          <w:tcPr>
            <w:tcW w:w="7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9"/>
        </w:trPr>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258"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13" w:lineRule="exact"/>
        <w:rPr>
          <w:sz w:val="24"/>
          <w:szCs w:val="24"/>
          <w:color w:val="auto"/>
        </w:rPr>
      </w:pPr>
    </w:p>
    <w:p>
      <w:pPr>
        <w:ind w:right="260"/>
        <w:spacing w:after="0" w:line="26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431165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849" w:right="239" w:bottom="1440" w:gutter="0" w:footer="0" w:header="0"/>
          <w:type w:val="continuous"/>
        </w:sectPr>
      </w:pPr>
    </w:p>
    <w:bookmarkStart w:id="1" w:name="page2"/>
    <w:bookmarkEnd w:id="1"/>
    <w:p>
      <w:pPr>
        <w:ind w:left="20"/>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40"/>
        <w:spacing w:after="0" w:line="261"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820" w:space="720"/>
            <w:col w:w="9600"/>
          </w:cols>
          <w:pgMar w:left="320" w:top="915" w:right="439" w:bottom="1440" w:gutter="0" w:footer="0" w:header="0"/>
        </w:sectPr>
      </w:pPr>
    </w:p>
    <w:p>
      <w:pPr>
        <w:spacing w:after="0" w:line="22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On April 11, 2025, Dropbox, Inc. announced that Eric Cox plans to step down as Chief Customer Officer. Mr. Cox will remain in his current role for a period of time to help with the transition and then will continue as a non-executive employee through mid-August.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1172845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915" w:right="439" w:bottom="1440" w:gutter="0" w:footer="0" w:header="0"/>
          <w:type w:val="continuous"/>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11, 2025</w:t>
      </w:r>
    </w:p>
    <w:p>
      <w:pPr>
        <w:spacing w:after="0" w:line="28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 William Y. Yoon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11430</wp:posOffset>
            </wp:positionV>
            <wp:extent cx="2780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William Y. Yoon</w:t>
      </w:r>
    </w:p>
    <w:p>
      <w:pPr>
        <w:spacing w:after="0" w:line="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Chief Legal Officer</w:t>
      </w:r>
    </w:p>
    <w:sectPr>
      <w:pgSz w:w="11900" w:h="16838" w:orient="portrait"/>
      <w:cols w:equalWidth="0" w:num="1">
        <w:col w:w="11080"/>
      </w:cols>
      <w:pgMar w:left="320" w:top="87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2025-04-11T08:07:27Z</dcterms:created>
  <dcterms:modified xsi:type="dcterms:W3CDTF">2025-04-11T08:07:27Z</dcterms:modified>
</cp:coreProperties>
</file>