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0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5"/>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BLAIR DONALD W</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260" w:type="dxa"/>
            <w:vAlign w:val="bottom"/>
            <w:gridSpan w:val="5"/>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DROPBOX, INC.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DBX</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740" w:type="dxa"/>
            <w:vAlign w:val="bottom"/>
          </w:tcPr>
          <w:p>
            <w:pPr>
              <w:spacing w:after="0"/>
              <w:rPr>
                <w:sz w:val="9"/>
                <w:szCs w:val="9"/>
                <w:color w:val="auto"/>
              </w:rPr>
            </w:pPr>
          </w:p>
        </w:tc>
        <w:tc>
          <w:tcPr>
            <w:tcW w:w="42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8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5"/>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42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80" w:type="dxa"/>
            <w:vAlign w:val="bottom"/>
            <w:gridSpan w:val="5"/>
            <w:vMerge w:val="continue"/>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5"/>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80" w:type="dxa"/>
            <w:vAlign w:val="bottom"/>
            <w:tcBorders>
              <w:bottom w:val="single" w:sz="8" w:color="0000EE"/>
            </w:tcBorders>
          </w:tcPr>
          <w:p>
            <w:pPr>
              <w:spacing w:after="0"/>
              <w:rPr>
                <w:sz w:val="2"/>
                <w:szCs w:val="2"/>
                <w:color w:val="auto"/>
              </w:rPr>
            </w:pPr>
          </w:p>
        </w:tc>
        <w:tc>
          <w:tcPr>
            <w:tcW w:w="720" w:type="dxa"/>
            <w:vAlign w:val="bottom"/>
          </w:tcPr>
          <w:p>
            <w:pPr>
              <w:spacing w:after="0"/>
              <w:rPr>
                <w:sz w:val="2"/>
                <w:szCs w:val="2"/>
                <w:color w:val="auto"/>
              </w:rPr>
            </w:pPr>
          </w:p>
        </w:tc>
        <w:tc>
          <w:tcPr>
            <w:tcW w:w="740" w:type="dxa"/>
            <w:vAlign w:val="bottom"/>
          </w:tcPr>
          <w:p>
            <w:pPr>
              <w:spacing w:after="0"/>
              <w:rPr>
                <w:sz w:val="2"/>
                <w:szCs w:val="2"/>
                <w:color w:val="auto"/>
              </w:rPr>
            </w:pPr>
          </w:p>
        </w:tc>
        <w:tc>
          <w:tcPr>
            <w:tcW w:w="4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Director</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5"/>
            <w:vMerge w:val="continue"/>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380" w:type="dxa"/>
            <w:vAlign w:val="bottom"/>
            <w:tcBorders>
              <w:top w:val="single" w:sz="8" w:color="0000EE"/>
            </w:tcBorders>
          </w:tcPr>
          <w:p>
            <w:pPr>
              <w:spacing w:after="0"/>
              <w:rPr>
                <w:sz w:val="8"/>
                <w:szCs w:val="8"/>
                <w:color w:val="auto"/>
              </w:rPr>
            </w:pPr>
          </w:p>
        </w:tc>
        <w:tc>
          <w:tcPr>
            <w:tcW w:w="4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4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4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300" w:type="dxa"/>
            <w:vAlign w:val="bottom"/>
            <w:tcBorders>
              <w:bottom w:val="single" w:sz="8" w:color="9A9A9A"/>
            </w:tcBorders>
          </w:tcPr>
          <w:p>
            <w:pPr>
              <w:spacing w:after="0"/>
              <w:rPr>
                <w:sz w:val="6"/>
                <w:szCs w:val="6"/>
                <w:color w:val="auto"/>
              </w:rPr>
            </w:pPr>
          </w:p>
        </w:tc>
        <w:tc>
          <w:tcPr>
            <w:tcW w:w="380" w:type="dxa"/>
            <w:vAlign w:val="bottom"/>
            <w:tcBorders>
              <w:bottom w:val="single" w:sz="8" w:color="9A9A9A"/>
            </w:tcBorders>
          </w:tcPr>
          <w:p>
            <w:pPr>
              <w:spacing w:after="0"/>
              <w:rPr>
                <w:sz w:val="6"/>
                <w:szCs w:val="6"/>
                <w:color w:val="auto"/>
              </w:rPr>
            </w:pPr>
          </w:p>
        </w:tc>
        <w:tc>
          <w:tcPr>
            <w:tcW w:w="44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 w:type="dxa"/>
            <w:vAlign w:val="bottom"/>
          </w:tcPr>
          <w:p>
            <w:pPr>
              <w:spacing w:after="0"/>
              <w:rPr>
                <w:sz w:val="6"/>
                <w:szCs w:val="6"/>
                <w:color w:val="auto"/>
              </w:rPr>
            </w:pPr>
          </w:p>
        </w:tc>
        <w:tc>
          <w:tcPr>
            <w:tcW w:w="7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740" w:type="dxa"/>
            <w:vAlign w:val="bottom"/>
            <w:gridSpan w:val="4"/>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6"/>
                <w:szCs w:val="16"/>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000" w:type="dxa"/>
            <w:vAlign w:val="bottom"/>
            <w:gridSpan w:val="6"/>
          </w:tcPr>
          <w:p>
            <w:pPr>
              <w:spacing w:after="0"/>
              <w:rPr>
                <w:sz w:val="20"/>
                <w:szCs w:val="20"/>
                <w:color w:val="auto"/>
              </w:rPr>
            </w:pPr>
            <w:r>
              <w:rPr>
                <w:rFonts w:ascii="Arial" w:cs="Arial" w:eastAsia="Arial" w:hAnsi="Arial"/>
                <w:sz w:val="13"/>
                <w:szCs w:val="13"/>
                <w:color w:val="auto"/>
              </w:rPr>
              <w:t>3. Date of Earliest Transaction (Month/Day/Year)</w:t>
            </w:r>
          </w:p>
        </w:tc>
        <w:tc>
          <w:tcPr>
            <w:tcW w:w="4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below)</w:t>
            </w:r>
          </w:p>
        </w:tc>
        <w:tc>
          <w:tcPr>
            <w:tcW w:w="920" w:type="dxa"/>
            <w:vAlign w:val="bottom"/>
          </w:tcPr>
          <w:p>
            <w:pPr>
              <w:ind w:left="48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5"/>
            <w:vMerge w:val="restart"/>
          </w:tcPr>
          <w:p>
            <w:pPr>
              <w:spacing w:after="0"/>
              <w:rPr>
                <w:sz w:val="20"/>
                <w:szCs w:val="20"/>
                <w:color w:val="auto"/>
              </w:rPr>
            </w:pPr>
            <w:r>
              <w:rPr>
                <w:rFonts w:ascii="Times New Roman" w:cs="Times New Roman" w:eastAsia="Times New Roman" w:hAnsi="Times New Roman"/>
                <w:sz w:val="17"/>
                <w:szCs w:val="17"/>
                <w:color w:val="0000FF"/>
              </w:rPr>
              <w:t>1800 OWENS STREET</w:t>
            </w:r>
          </w:p>
        </w:tc>
        <w:tc>
          <w:tcPr>
            <w:tcW w:w="1340" w:type="dxa"/>
            <w:vAlign w:val="bottom"/>
          </w:tcPr>
          <w:p>
            <w:pPr>
              <w:spacing w:after="0"/>
              <w:rPr>
                <w:sz w:val="19"/>
                <w:szCs w:val="19"/>
                <w:color w:val="auto"/>
              </w:rPr>
            </w:pPr>
          </w:p>
        </w:tc>
        <w:tc>
          <w:tcPr>
            <w:tcW w:w="1620" w:type="dxa"/>
            <w:vAlign w:val="bottom"/>
            <w:gridSpan w:val="6"/>
          </w:tcPr>
          <w:p>
            <w:pPr>
              <w:ind w:left="160"/>
              <w:spacing w:after="0"/>
              <w:rPr>
                <w:sz w:val="20"/>
                <w:szCs w:val="20"/>
                <w:color w:val="auto"/>
              </w:rPr>
            </w:pPr>
            <w:r>
              <w:rPr>
                <w:rFonts w:ascii="Times New Roman" w:cs="Times New Roman" w:eastAsia="Times New Roman" w:hAnsi="Times New Roman"/>
                <w:sz w:val="17"/>
                <w:szCs w:val="17"/>
                <w:color w:val="0000FF"/>
              </w:rPr>
              <w:t>05/19/2022</w:t>
            </w:r>
          </w:p>
        </w:tc>
        <w:tc>
          <w:tcPr>
            <w:tcW w:w="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300" w:type="dxa"/>
            <w:vAlign w:val="bottom"/>
            <w:gridSpan w:val="5"/>
            <w:vMerge w:val="continue"/>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 w:type="dxa"/>
            <w:vAlign w:val="bottom"/>
          </w:tcPr>
          <w:p>
            <w:pPr>
              <w:spacing w:after="0"/>
              <w:rPr>
                <w:sz w:val="6"/>
                <w:szCs w:val="6"/>
                <w:color w:val="auto"/>
              </w:rPr>
            </w:pPr>
          </w:p>
        </w:tc>
        <w:tc>
          <w:tcPr>
            <w:tcW w:w="7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9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SUITE 200</w:t>
            </w:r>
          </w:p>
        </w:tc>
        <w:tc>
          <w:tcPr>
            <w:tcW w:w="3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320" w:type="dxa"/>
            <w:vAlign w:val="bottom"/>
            <w:tcBorders>
              <w:bottom w:val="single" w:sz="8" w:color="2C2C2C"/>
            </w:tcBorders>
          </w:tcPr>
          <w:p>
            <w:pPr>
              <w:spacing w:after="0"/>
              <w:rPr>
                <w:sz w:val="21"/>
                <w:szCs w:val="21"/>
                <w:color w:val="auto"/>
              </w:rPr>
            </w:pPr>
          </w:p>
        </w:tc>
        <w:tc>
          <w:tcPr>
            <w:tcW w:w="42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420" w:type="dxa"/>
            <w:vAlign w:val="bottom"/>
            <w:tcBorders>
              <w:bottom w:val="single" w:sz="8" w:color="2C2C2C"/>
            </w:tcBorders>
          </w:tcPr>
          <w:p>
            <w:pPr>
              <w:spacing w:after="0"/>
              <w:rPr>
                <w:sz w:val="21"/>
                <w:szCs w:val="21"/>
                <w:color w:val="auto"/>
              </w:rPr>
            </w:pPr>
          </w:p>
        </w:tc>
        <w:tc>
          <w:tcPr>
            <w:tcW w:w="24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760" w:type="dxa"/>
            <w:vAlign w:val="bottom"/>
            <w:tcBorders>
              <w:bottom w:val="single" w:sz="8" w:color="2C2C2C"/>
            </w:tcBorders>
          </w:tcPr>
          <w:p>
            <w:pPr>
              <w:spacing w:after="0"/>
              <w:rPr>
                <w:sz w:val="21"/>
                <w:szCs w:val="21"/>
                <w:color w:val="auto"/>
              </w:rPr>
            </w:pPr>
          </w:p>
        </w:tc>
        <w:tc>
          <w:tcPr>
            <w:tcW w:w="92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38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20" w:type="dxa"/>
            <w:vAlign w:val="bottom"/>
            <w:gridSpan w:val="7"/>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 w:type="dxa"/>
            <w:vAlign w:val="bottom"/>
          </w:tcPr>
          <w:p>
            <w:pPr>
              <w:spacing w:after="0"/>
              <w:rPr>
                <w:sz w:val="6"/>
                <w:szCs w:val="6"/>
                <w:color w:val="auto"/>
              </w:rPr>
            </w:pPr>
          </w:p>
        </w:tc>
        <w:tc>
          <w:tcPr>
            <w:tcW w:w="7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140" w:type="dxa"/>
            <w:vAlign w:val="bottom"/>
            <w:gridSpan w:val="7"/>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SAN</w:t>
            </w:r>
          </w:p>
        </w:tc>
        <w:tc>
          <w:tcPr>
            <w:tcW w:w="560" w:type="dxa"/>
            <w:vAlign w:val="bottom"/>
          </w:tcPr>
          <w:p>
            <w:pPr>
              <w:spacing w:after="0"/>
              <w:rPr>
                <w:sz w:val="13"/>
                <w:szCs w:val="13"/>
                <w:color w:val="auto"/>
              </w:rPr>
            </w:pPr>
          </w:p>
        </w:tc>
        <w:tc>
          <w:tcPr>
            <w:tcW w:w="3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CA</w:t>
            </w:r>
          </w:p>
        </w:tc>
        <w:tc>
          <w:tcPr>
            <w:tcW w:w="3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94158</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140" w:type="dxa"/>
            <w:vAlign w:val="bottom"/>
            <w:gridSpan w:val="7"/>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vMerge w:val="continue"/>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34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vMerge w:val="restart"/>
          </w:tcPr>
          <w:p>
            <w:pPr>
              <w:spacing w:after="0" w:line="175" w:lineRule="exact"/>
              <w:rPr>
                <w:sz w:val="20"/>
                <w:szCs w:val="20"/>
                <w:color w:val="auto"/>
              </w:rPr>
            </w:pPr>
            <w:r>
              <w:rPr>
                <w:rFonts w:ascii="Times New Roman" w:cs="Times New Roman" w:eastAsia="Times New Roman" w:hAnsi="Times New Roman"/>
                <w:sz w:val="17"/>
                <w:szCs w:val="17"/>
                <w:color w:val="0000FF"/>
              </w:rPr>
              <w:t>FRANCISCO</w:t>
            </w:r>
          </w:p>
        </w:tc>
        <w:tc>
          <w:tcPr>
            <w:tcW w:w="300" w:type="dxa"/>
            <w:vAlign w:val="bottom"/>
            <w:vMerge w:val="continue"/>
          </w:tcPr>
          <w:p>
            <w:pPr>
              <w:spacing w:after="0"/>
              <w:rPr>
                <w:sz w:val="10"/>
                <w:szCs w:val="10"/>
                <w:color w:val="auto"/>
              </w:rPr>
            </w:pPr>
          </w:p>
        </w:tc>
        <w:tc>
          <w:tcPr>
            <w:tcW w:w="3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3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940" w:type="dxa"/>
            <w:vAlign w:val="bottom"/>
            <w:gridSpan w:val="6"/>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300" w:type="dxa"/>
            <w:vAlign w:val="bottom"/>
          </w:tcPr>
          <w:p>
            <w:pPr>
              <w:spacing w:after="0"/>
              <w:rPr>
                <w:sz w:val="4"/>
                <w:szCs w:val="4"/>
                <w:color w:val="auto"/>
              </w:rPr>
            </w:pPr>
          </w:p>
        </w:tc>
        <w:tc>
          <w:tcPr>
            <w:tcW w:w="380" w:type="dxa"/>
            <w:vAlign w:val="bottom"/>
          </w:tcPr>
          <w:p>
            <w:pPr>
              <w:spacing w:after="0"/>
              <w:rPr>
                <w:sz w:val="4"/>
                <w:szCs w:val="4"/>
                <w:color w:val="auto"/>
              </w:rPr>
            </w:pPr>
          </w:p>
        </w:tc>
        <w:tc>
          <w:tcPr>
            <w:tcW w:w="44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42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2940" w:type="dxa"/>
            <w:vAlign w:val="bottom"/>
            <w:gridSpan w:val="6"/>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bottom w:val="single" w:sz="8" w:color="9A9A9A"/>
            </w:tcBorders>
          </w:tcPr>
          <w:p>
            <w:pPr>
              <w:spacing w:after="0"/>
              <w:rPr>
                <w:sz w:val="2"/>
                <w:szCs w:val="2"/>
                <w:color w:val="auto"/>
              </w:rPr>
            </w:pPr>
          </w:p>
        </w:tc>
        <w:tc>
          <w:tcPr>
            <w:tcW w:w="560" w:type="dxa"/>
            <w:vAlign w:val="bottom"/>
            <w:tcBorders>
              <w:bottom w:val="single" w:sz="8" w:color="9A9A9A"/>
            </w:tcBorders>
          </w:tcPr>
          <w:p>
            <w:pPr>
              <w:spacing w:after="0"/>
              <w:rPr>
                <w:sz w:val="2"/>
                <w:szCs w:val="2"/>
                <w:color w:val="auto"/>
              </w:rPr>
            </w:pPr>
          </w:p>
        </w:tc>
        <w:tc>
          <w:tcPr>
            <w:tcW w:w="680" w:type="dxa"/>
            <w:vAlign w:val="bottom"/>
            <w:tcBorders>
              <w:bottom w:val="single" w:sz="8" w:color="9A9A9A"/>
            </w:tcBorders>
            <w:gridSpan w:val="2"/>
          </w:tcPr>
          <w:p>
            <w:pPr>
              <w:spacing w:after="0"/>
              <w:rPr>
                <w:sz w:val="2"/>
                <w:szCs w:val="2"/>
                <w:color w:val="auto"/>
              </w:rPr>
            </w:pPr>
          </w:p>
        </w:tc>
        <w:tc>
          <w:tcPr>
            <w:tcW w:w="440" w:type="dxa"/>
            <w:vAlign w:val="bottom"/>
            <w:tcBorders>
              <w:bottom w:val="single" w:sz="8" w:color="9A9A9A"/>
            </w:tcBorders>
          </w:tcPr>
          <w:p>
            <w:pPr>
              <w:spacing w:after="0"/>
              <w:rPr>
                <w:sz w:val="2"/>
                <w:szCs w:val="2"/>
                <w:color w:val="auto"/>
              </w:rPr>
            </w:pPr>
          </w:p>
        </w:tc>
        <w:tc>
          <w:tcPr>
            <w:tcW w:w="1340" w:type="dxa"/>
            <w:vAlign w:val="bottom"/>
            <w:tcBorders>
              <w:bottom w:val="single" w:sz="8" w:color="9A9A9A"/>
            </w:tcBorders>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80" w:type="dxa"/>
            <w:vAlign w:val="bottom"/>
          </w:tcPr>
          <w:p>
            <w:pPr>
              <w:spacing w:after="0"/>
              <w:rPr>
                <w:sz w:val="2"/>
                <w:szCs w:val="2"/>
                <w:color w:val="auto"/>
              </w:rPr>
            </w:pPr>
          </w:p>
        </w:tc>
        <w:tc>
          <w:tcPr>
            <w:tcW w:w="720" w:type="dxa"/>
            <w:vAlign w:val="bottom"/>
          </w:tcPr>
          <w:p>
            <w:pPr>
              <w:spacing w:after="0"/>
              <w:rPr>
                <w:sz w:val="2"/>
                <w:szCs w:val="2"/>
                <w:color w:val="auto"/>
              </w:rPr>
            </w:pPr>
          </w:p>
        </w:tc>
        <w:tc>
          <w:tcPr>
            <w:tcW w:w="740" w:type="dxa"/>
            <w:vAlign w:val="bottom"/>
          </w:tcPr>
          <w:p>
            <w:pPr>
              <w:spacing w:after="0"/>
              <w:rPr>
                <w:sz w:val="2"/>
                <w:szCs w:val="2"/>
                <w:color w:val="auto"/>
              </w:rPr>
            </w:pPr>
          </w:p>
        </w:tc>
        <w:tc>
          <w:tcPr>
            <w:tcW w:w="4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440" w:type="dxa"/>
            <w:vAlign w:val="bottom"/>
          </w:tcPr>
          <w:p>
            <w:pPr>
              <w:spacing w:after="0"/>
              <w:rPr>
                <w:sz w:val="2"/>
                <w:szCs w:val="2"/>
                <w:color w:val="auto"/>
              </w:rPr>
            </w:pPr>
          </w:p>
        </w:tc>
        <w:tc>
          <w:tcPr>
            <w:tcW w:w="760" w:type="dxa"/>
            <w:vAlign w:val="bottom"/>
          </w:tcPr>
          <w:p>
            <w:pPr>
              <w:spacing w:after="0"/>
              <w:rPr>
                <w:sz w:val="2"/>
                <w:szCs w:val="2"/>
                <w:color w:val="auto"/>
              </w:rPr>
            </w:pPr>
          </w:p>
        </w:tc>
        <w:tc>
          <w:tcPr>
            <w:tcW w:w="92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1800" w:type="dxa"/>
            <w:vAlign w:val="bottom"/>
            <w:tcBorders>
              <w:bottom w:val="single" w:sz="8" w:color="2C2C2C"/>
            </w:tcBorders>
            <w:gridSpan w:val="3"/>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40" w:type="dxa"/>
            <w:vAlign w:val="bottom"/>
            <w:tcBorders>
              <w:bottom w:val="single" w:sz="8" w:color="2C2C2C"/>
            </w:tcBorders>
            <w:gridSpan w:val="4"/>
          </w:tcPr>
          <w:p>
            <w:pPr>
              <w:spacing w:after="0"/>
              <w:rPr>
                <w:sz w:val="10"/>
                <w:szCs w:val="10"/>
                <w:color w:val="auto"/>
              </w:rPr>
            </w:pPr>
          </w:p>
        </w:tc>
        <w:tc>
          <w:tcPr>
            <w:tcW w:w="2200" w:type="dxa"/>
            <w:vAlign w:val="bottom"/>
            <w:tcBorders>
              <w:bottom w:val="single" w:sz="8" w:color="2C2C2C"/>
            </w:tcBorders>
            <w:gridSpan w:val="5"/>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tcPr>
          <w:p>
            <w:pPr>
              <w:spacing w:after="0"/>
              <w:rPr>
                <w:sz w:val="22"/>
                <w:szCs w:val="22"/>
                <w:color w:val="auto"/>
              </w:rPr>
            </w:pPr>
          </w:p>
        </w:tc>
        <w:tc>
          <w:tcPr>
            <w:tcW w:w="7360" w:type="dxa"/>
            <w:vAlign w:val="bottom"/>
            <w:tcBorders>
              <w:top w:val="single" w:sz="8" w:color="2C2C2C"/>
            </w:tcBorders>
            <w:gridSpan w:val="19"/>
          </w:tcPr>
          <w:p>
            <w:pPr>
              <w:ind w:left="2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860" w:type="dxa"/>
            <w:vAlign w:val="bottom"/>
            <w:tcBorders>
              <w:bottom w:val="single" w:sz="8" w:color="2C2C2C"/>
            </w:tcBorders>
            <w:gridSpan w:val="4"/>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5"/>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6"/>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7"/>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20" w:type="dxa"/>
            <w:vAlign w:val="bottom"/>
            <w:gridSpan w:val="5"/>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 w:type="dxa"/>
            <w:vAlign w:val="bottom"/>
          </w:tcPr>
          <w:p>
            <w:pPr>
              <w:spacing w:after="0"/>
              <w:rPr>
                <w:sz w:val="3"/>
                <w:szCs w:val="3"/>
                <w:color w:val="auto"/>
              </w:rPr>
            </w:pPr>
          </w:p>
        </w:tc>
        <w:tc>
          <w:tcPr>
            <w:tcW w:w="7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gridSpan w:val="2"/>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4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60" w:type="dxa"/>
            <w:vAlign w:val="bottom"/>
            <w:gridSpan w:val="3"/>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860" w:type="dxa"/>
            <w:vAlign w:val="bottom"/>
            <w:tcBorders>
              <w:bottom w:val="single" w:sz="8" w:color="2C2C2C"/>
            </w:tcBorders>
            <w:gridSpan w:val="4"/>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5"/>
          </w:tcPr>
          <w:p>
            <w:pPr>
              <w:ind w:left="880"/>
              <w:spacing w:after="0"/>
              <w:rPr>
                <w:sz w:val="20"/>
                <w:szCs w:val="20"/>
                <w:color w:val="auto"/>
              </w:rPr>
            </w:pPr>
            <w:r>
              <w:rPr>
                <w:rFonts w:ascii="Times New Roman" w:cs="Times New Roman" w:eastAsia="Times New Roman" w:hAnsi="Times New Roman"/>
                <w:sz w:val="17"/>
                <w:szCs w:val="17"/>
                <w:color w:val="0000FF"/>
              </w:rPr>
              <w:t>05/19/2022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3"/>
                <w:szCs w:val="13"/>
                <w:color w:val="0000FF"/>
              </w:rPr>
              <w:t>A</w:t>
            </w:r>
          </w:p>
        </w:tc>
        <w:tc>
          <w:tcPr>
            <w:tcW w:w="74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17"/>
                <w:szCs w:val="17"/>
                <w:color w:val="0000FF"/>
                <w:w w:val="93"/>
              </w:rPr>
              <w:t>12,297</w:t>
            </w:r>
            <w:r>
              <w:rPr>
                <w:rFonts w:ascii="Times New Roman" w:cs="Times New Roman" w:eastAsia="Times New Roman" w:hAnsi="Times New Roman"/>
                <w:sz w:val="22"/>
                <w:szCs w:val="22"/>
                <w:color w:val="008000"/>
                <w:w w:val="93"/>
                <w:vertAlign w:val="superscript"/>
              </w:rPr>
              <w:t>(1)</w:t>
            </w:r>
          </w:p>
        </w:tc>
        <w:tc>
          <w:tcPr>
            <w:tcW w:w="42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4"/>
          </w:tcPr>
          <w:p>
            <w:pPr>
              <w:jc w:val="right"/>
              <w:ind w:right="51"/>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200" w:type="dxa"/>
            <w:vAlign w:val="bottom"/>
            <w:tcBorders>
              <w:bottom w:val="single" w:sz="8" w:color="2C2C2C"/>
            </w:tcBorders>
            <w:gridSpan w:val="2"/>
          </w:tcPr>
          <w:p>
            <w:pPr>
              <w:ind w:left="260"/>
              <w:spacing w:after="0"/>
              <w:rPr>
                <w:sz w:val="20"/>
                <w:szCs w:val="20"/>
                <w:color w:val="auto"/>
              </w:rPr>
            </w:pPr>
            <w:r>
              <w:rPr>
                <w:rFonts w:ascii="Times New Roman" w:cs="Times New Roman" w:eastAsia="Times New Roman" w:hAnsi="Times New Roman"/>
                <w:sz w:val="17"/>
                <w:szCs w:val="17"/>
                <w:color w:val="0000FF"/>
              </w:rPr>
              <w:t>89,560</w:t>
            </w:r>
            <w:r>
              <w:rPr>
                <w:rFonts w:ascii="Times New Roman" w:cs="Times New Roman" w:eastAsia="Times New Roman" w:hAnsi="Times New Roman"/>
                <w:sz w:val="22"/>
                <w:szCs w:val="22"/>
                <w:color w:val="008000"/>
                <w:vertAlign w:val="superscript"/>
              </w:rPr>
              <w:t>(2)</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380" w:type="dxa"/>
            <w:vAlign w:val="bottom"/>
            <w:tcBorders>
              <w:top w:val="single" w:sz="8" w:color="2C2C2C"/>
            </w:tcBorders>
          </w:tcPr>
          <w:p>
            <w:pPr>
              <w:spacing w:after="0"/>
              <w:rPr>
                <w:sz w:val="19"/>
                <w:szCs w:val="19"/>
                <w:color w:val="auto"/>
              </w:rPr>
            </w:pPr>
          </w:p>
        </w:tc>
        <w:tc>
          <w:tcPr>
            <w:tcW w:w="44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46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2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2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3"/>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26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These securities are restricted stock units. Each restricted stock unit represents the Reporting Person's right to receive one share of Class A Common Stock. The restricted stock units vest in full on the earlier of May 19, 2023 or the day prior to the date of the Issuer's next annual meeting of stockholders.</w:t>
      </w:r>
    </w:p>
    <w:p>
      <w:pPr>
        <w:spacing w:after="0" w:line="7" w:lineRule="exact"/>
        <w:rPr>
          <w:rFonts w:ascii="Times New Roman" w:cs="Times New Roman" w:eastAsia="Times New Roman" w:hAnsi="Times New Roman"/>
          <w:sz w:val="13"/>
          <w:szCs w:val="13"/>
          <w:color w:val="008000"/>
        </w:rPr>
      </w:pPr>
    </w:p>
    <w:p>
      <w:pPr>
        <w:jc w:val="both"/>
        <w:ind w:left="40" w:right="340" w:firstLine="7"/>
        <w:spacing w:after="0" w:line="253"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Certain of these securities are restricted stock units. Each restricted stock unit represents the Reporting Person's right to receive one share of Class A Common Stock, subject to the applicable vesting schedule through May 19, 2023 or the day prior to the date of the Issuer's next annual meeting of stockholders. In the event the Reporting Person ceases to be a Service Provider, the unvested restricted stock units will be cancelled by the Issuer.</w:t>
      </w:r>
    </w:p>
    <w:p>
      <w:pPr>
        <w:spacing w:after="0" w:line="18"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05/23/2022</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237789"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2022-05-23T17:49:57Z</dcterms:created>
  <dcterms:modified xsi:type="dcterms:W3CDTF">2022-05-23T17:49:57Z</dcterms:modified>
</cp:coreProperties>
</file>